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1"/>
        <w:tabs>
          <w:tab w:val="right" w:pos="9639"/>
        </w:tabs>
        <w:spacing w:after="0"/>
        <w:outlineLvl w:val="0"/>
        <w:rPr>
          <w:rFonts w:hint="default" w:eastAsia="宋体"/>
          <w:b/>
          <w:sz w:val="24"/>
          <w:lang w:val="en-US" w:eastAsia="zh-CN"/>
        </w:rPr>
      </w:pPr>
      <w:bookmarkStart w:id="0" w:name="Title"/>
      <w:bookmarkEnd w:id="0"/>
      <w:bookmarkStart w:id="1" w:name="DocumentFor"/>
      <w:bookmarkEnd w:id="1"/>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w:t>
      </w:r>
      <w:r>
        <w:rPr>
          <w:b/>
          <w:i/>
          <w:sz w:val="28"/>
        </w:rPr>
        <w:tab/>
      </w:r>
      <w:r>
        <w:rPr>
          <w:rFonts w:hint="eastAsia"/>
          <w:b/>
          <w:sz w:val="24"/>
        </w:rPr>
        <w:t>R4-2</w:t>
      </w:r>
      <w:r>
        <w:rPr>
          <w:rFonts w:hint="eastAsia" w:eastAsia="宋体"/>
          <w:b/>
          <w:sz w:val="24"/>
          <w:lang w:val="en-US" w:eastAsia="zh-CN"/>
        </w:rPr>
        <w:t>40</w:t>
      </w:r>
      <w:r>
        <w:rPr>
          <w:rFonts w:hint="eastAsia"/>
          <w:b/>
          <w:sz w:val="24"/>
          <w:lang w:val="en-US" w:eastAsia="zh-CN"/>
        </w:rPr>
        <w:t>2237</w:t>
      </w:r>
    </w:p>
    <w:p>
      <w:pPr>
        <w:pStyle w:val="31"/>
        <w:outlineLvl w:val="0"/>
        <w:rPr>
          <w:b/>
          <w:sz w:val="24"/>
        </w:rPr>
      </w:pPr>
      <w:r>
        <w:rPr>
          <w:rFonts w:hint="eastAsia" w:eastAsia="宋体" w:cs="Arial"/>
          <w:b/>
          <w:sz w:val="24"/>
          <w:szCs w:val="24"/>
          <w:lang w:val="en-US" w:eastAsia="zh-CN"/>
        </w:rPr>
        <w:t>Athens,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Greece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26</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Feb</w:t>
      </w:r>
      <w:r>
        <w:rPr>
          <w:rFonts w:hint="eastAsia" w:ascii="Arial" w:hAnsi="Arial" w:eastAsia="宋体" w:cs="Arial"/>
          <w:b/>
          <w:sz w:val="24"/>
          <w:szCs w:val="24"/>
          <w:lang w:eastAsia="zh-CN"/>
        </w:rPr>
        <w:t>–</w:t>
      </w:r>
      <w:r>
        <w:rPr>
          <w:rFonts w:hint="eastAsia" w:cs="Arial"/>
          <w:b/>
          <w:sz w:val="24"/>
          <w:szCs w:val="24"/>
          <w:lang w:val="en-US" w:eastAsia="zh-CN"/>
        </w:rPr>
        <w:t>1st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Mar</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rPr>
          <w:rFonts w:ascii="Arial" w:hAnsi="Arial" w:cs="Arial"/>
        </w:rPr>
      </w:pPr>
    </w:p>
    <w:p>
      <w:pPr>
        <w:rPr>
          <w:rFonts w:ascii="Arial" w:hAnsi="Arial" w:cs="Arial"/>
        </w:rPr>
      </w:pPr>
    </w:p>
    <w:p>
      <w:pPr>
        <w:spacing w:after="60"/>
        <w:ind w:left="1985" w:hanging="1985"/>
        <w:rPr>
          <w:rFonts w:ascii="Arial" w:hAnsi="Arial" w:cs="Arial"/>
          <w:bCs/>
        </w:rPr>
      </w:pPr>
      <w:bookmarkStart w:id="2" w:name="_Hlk41686089"/>
      <w:r>
        <w:rPr>
          <w:rFonts w:ascii="Arial" w:hAnsi="Arial" w:cs="Arial"/>
          <w:b/>
        </w:rPr>
        <w:t>Title:</w:t>
      </w:r>
      <w:r>
        <w:rPr>
          <w:rFonts w:ascii="Arial" w:hAnsi="Arial" w:cs="Arial"/>
          <w:b/>
        </w:rPr>
        <w:tab/>
      </w:r>
      <w:r>
        <w:rPr>
          <w:rFonts w:hint="eastAsia" w:ascii="Arial" w:hAnsi="Arial" w:cs="Arial"/>
          <w:lang w:val="en-US" w:eastAsia="zh-CN"/>
        </w:rPr>
        <w:t>Reply LS on inter-frequency neighbour cells supporting NR dedicated spectrum less than 5 MHz for FR1</w:t>
      </w:r>
    </w:p>
    <w:p>
      <w:pPr>
        <w:spacing w:after="60"/>
        <w:ind w:left="1985" w:hanging="1985"/>
        <w:rPr>
          <w:rFonts w:hint="default" w:ascii="Arial" w:hAnsi="Arial" w:eastAsia="宋体" w:cs="Arial"/>
          <w:bCs/>
          <w:lang w:val="en-US" w:eastAsia="zh-CN"/>
        </w:rPr>
      </w:pPr>
      <w:r>
        <w:rPr>
          <w:rFonts w:ascii="Arial" w:hAnsi="Arial" w:cs="Arial"/>
          <w:b/>
        </w:rPr>
        <w:t>Response to:</w:t>
      </w:r>
      <w:r>
        <w:rPr>
          <w:rFonts w:ascii="Arial" w:hAnsi="Arial" w:cs="Arial"/>
          <w:bCs/>
        </w:rPr>
        <w:tab/>
      </w:r>
      <w:r>
        <w:rPr>
          <w:rFonts w:hint="eastAsia" w:ascii="Arial" w:hAnsi="Arial" w:cs="Arial"/>
          <w:bCs/>
        </w:rPr>
        <w:t>R4-2</w:t>
      </w:r>
      <w:r>
        <w:rPr>
          <w:rFonts w:hint="eastAsia" w:ascii="Arial" w:hAnsi="Arial" w:cs="Arial"/>
          <w:bCs/>
          <w:lang w:val="en-US" w:eastAsia="zh-CN"/>
        </w:rPr>
        <w:t>4</w:t>
      </w:r>
      <w:r>
        <w:rPr>
          <w:rFonts w:hint="eastAsia" w:ascii="Arial" w:hAnsi="Arial" w:cs="Arial"/>
          <w:bCs/>
        </w:rPr>
        <w:t>000</w:t>
      </w:r>
      <w:r>
        <w:rPr>
          <w:rFonts w:hint="eastAsia" w:ascii="Arial" w:hAnsi="Arial" w:cs="Arial"/>
          <w:bCs/>
          <w:lang w:val="en-US" w:eastAsia="zh-CN"/>
        </w:rPr>
        <w:t>12/</w:t>
      </w:r>
      <w:r>
        <w:rPr>
          <w:rFonts w:ascii="Arial" w:hAnsi="Arial" w:cs="Arial"/>
          <w:bCs/>
        </w:rPr>
        <w:t xml:space="preserve"> </w:t>
      </w:r>
      <w:r>
        <w:rPr>
          <w:rFonts w:hint="eastAsia" w:ascii="Arial" w:hAnsi="Arial" w:cs="Arial"/>
          <w:bCs/>
        </w:rPr>
        <w:t>R1-2</w:t>
      </w:r>
      <w:r>
        <w:rPr>
          <w:rFonts w:hint="eastAsia" w:ascii="Arial" w:hAnsi="Arial" w:cs="Arial"/>
          <w:bCs/>
          <w:lang w:val="en-US" w:eastAsia="zh-CN"/>
        </w:rPr>
        <w:t>312668</w:t>
      </w:r>
    </w:p>
    <w:p>
      <w:pPr>
        <w:spacing w:after="60"/>
        <w:ind w:left="1985" w:hanging="1985"/>
        <w:rPr>
          <w:rFonts w:hint="eastAsia" w:ascii="Arial" w:hAnsi="Arial" w:cs="Arial"/>
          <w:bCs/>
          <w:lang w:eastAsia="zh-CN"/>
        </w:rPr>
      </w:pPr>
      <w:r>
        <w:rPr>
          <w:rFonts w:ascii="Arial" w:hAnsi="Arial" w:cs="Arial"/>
          <w:b/>
        </w:rPr>
        <w:t>Release:</w:t>
      </w:r>
      <w:r>
        <w:rPr>
          <w:rFonts w:ascii="Arial" w:hAnsi="Arial" w:cs="Arial"/>
          <w:bCs/>
        </w:rPr>
        <w:tab/>
      </w:r>
      <w:r>
        <w:rPr>
          <w:rFonts w:ascii="Arial" w:hAnsi="Arial" w:cs="Arial"/>
          <w:bCs/>
        </w:rPr>
        <w:t>Rel</w:t>
      </w:r>
      <w:r>
        <w:rPr>
          <w:rFonts w:hint="eastAsia" w:ascii="Arial" w:hAnsi="Arial" w:cs="Arial"/>
          <w:bCs/>
          <w:lang w:val="en-US" w:eastAsia="zh-CN"/>
        </w:rPr>
        <w:t xml:space="preserve">ease </w:t>
      </w:r>
      <w:r>
        <w:rPr>
          <w:rFonts w:ascii="Arial" w:hAnsi="Arial" w:cs="Arial"/>
          <w:bCs/>
        </w:rPr>
        <w:t>18</w:t>
      </w:r>
    </w:p>
    <w:p>
      <w:pPr>
        <w:spacing w:after="60"/>
        <w:ind w:left="1985" w:hanging="1985"/>
        <w:rPr>
          <w:rFonts w:ascii="Arial" w:hAnsi="Arial" w:cs="Arial"/>
          <w:bCs/>
          <w:lang w:val="en-US" w:eastAsia="ko-KR"/>
        </w:rPr>
      </w:pPr>
      <w:r>
        <w:rPr>
          <w:rFonts w:ascii="Arial" w:hAnsi="Arial" w:cs="Arial"/>
          <w:b/>
        </w:rPr>
        <w:t>Work Item:</w:t>
      </w:r>
      <w:r>
        <w:rPr>
          <w:rFonts w:ascii="Arial" w:hAnsi="Arial" w:cs="Arial"/>
          <w:bCs/>
        </w:rPr>
        <w:tab/>
      </w:r>
      <w:r>
        <w:rPr>
          <w:rFonts w:ascii="Arial" w:hAnsi="Arial" w:cs="Arial"/>
          <w:szCs w:val="21"/>
          <w:lang w:eastAsia="ja-JP"/>
        </w:rPr>
        <w:t>NR_FR1_lessthan_5MHz_BW</w:t>
      </w:r>
    </w:p>
    <w:p>
      <w:pPr>
        <w:spacing w:after="60"/>
        <w:ind w:left="1985" w:hanging="1985"/>
        <w:rPr>
          <w:rFonts w:ascii="Arial" w:hAnsi="Arial" w:cs="Arial"/>
          <w:b/>
        </w:rPr>
      </w:pPr>
    </w:p>
    <w:p>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Pr>
          <w:rFonts w:hint="eastAsia" w:ascii="Arial" w:hAnsi="Arial" w:cs="Arial"/>
          <w:bCs/>
          <w:lang w:val="en-US" w:eastAsia="zh-CN"/>
        </w:rPr>
        <w:t>RAN4</w:t>
      </w:r>
    </w:p>
    <w:p>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hint="eastAsia" w:ascii="Arial" w:hAnsi="Arial" w:cs="Arial"/>
          <w:bCs/>
          <w:lang w:val="en-US" w:eastAsia="zh-CN"/>
        </w:rPr>
        <w:t>RAN1</w:t>
      </w:r>
    </w:p>
    <w:bookmarkEnd w:id="2"/>
    <w:p>
      <w:pPr>
        <w:spacing w:after="60"/>
        <w:ind w:left="1985" w:hanging="1985"/>
        <w:rPr>
          <w:rFonts w:hint="default" w:ascii="Arial" w:hAnsi="Arial" w:cs="Arial"/>
          <w:bCs/>
          <w:lang w:val="en-US"/>
        </w:rPr>
      </w:pPr>
      <w:r>
        <w:rPr>
          <w:rFonts w:ascii="Arial" w:hAnsi="Arial" w:cs="Arial"/>
          <w:b/>
        </w:rPr>
        <w:t>Cc:</w:t>
      </w:r>
      <w:r>
        <w:rPr>
          <w:rFonts w:ascii="Arial" w:hAnsi="Arial" w:cs="Arial"/>
          <w:bCs/>
        </w:rPr>
        <w:tab/>
      </w:r>
      <w:r>
        <w:rPr>
          <w:rFonts w:hint="eastAsia" w:ascii="Arial" w:hAnsi="Arial" w:cs="Arial"/>
          <w:bCs/>
          <w:lang w:val="en-US" w:eastAsia="zh-CN"/>
        </w:rPr>
        <w:t>RAN2</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5"/>
        <w:tabs>
          <w:tab w:val="left" w:pos="2268"/>
        </w:tabs>
        <w:ind w:left="567"/>
        <w:rPr>
          <w:rFonts w:hint="default" w:cs="Arial"/>
          <w:b w:val="0"/>
          <w:bCs/>
          <w:color w:val="auto"/>
          <w:highlight w:val="none"/>
          <w:lang w:val="en-US" w:eastAsia="zh-CN"/>
        </w:rPr>
      </w:pPr>
      <w:r>
        <w:rPr>
          <w:rFonts w:cs="Arial"/>
          <w:color w:val="auto"/>
          <w:highlight w:val="none"/>
        </w:rPr>
        <w:t>Name:</w:t>
      </w:r>
      <w:r>
        <w:rPr>
          <w:rFonts w:cs="Arial"/>
          <w:b w:val="0"/>
          <w:bCs/>
          <w:color w:val="auto"/>
          <w:highlight w:val="none"/>
        </w:rPr>
        <w:tab/>
      </w:r>
      <w:r>
        <w:rPr>
          <w:rFonts w:hint="eastAsia" w:cs="Arial"/>
          <w:b w:val="0"/>
          <w:bCs/>
          <w:color w:val="auto"/>
          <w:highlight w:val="none"/>
          <w:lang w:val="en-US" w:eastAsia="zh-CN"/>
        </w:rPr>
        <w:t>Li Lu</w:t>
      </w:r>
    </w:p>
    <w:p>
      <w:pPr>
        <w:pStyle w:val="8"/>
        <w:tabs>
          <w:tab w:val="left" w:pos="2268"/>
        </w:tabs>
        <w:ind w:left="567"/>
        <w:rPr>
          <w:rFonts w:hint="eastAsia" w:eastAsia="宋体" w:cs="Arial"/>
          <w:b w:val="0"/>
          <w:bCs/>
          <w:color w:val="auto"/>
          <w:highlight w:val="none"/>
          <w:lang w:val="en-US" w:eastAsia="zh-CN"/>
        </w:rPr>
      </w:pPr>
      <w:r>
        <w:rPr>
          <w:rFonts w:cs="Arial"/>
          <w:color w:val="auto"/>
          <w:highlight w:val="none"/>
          <w:lang w:val="de-DE"/>
        </w:rPr>
        <w:t>E-mail Address:</w:t>
      </w:r>
      <w:r>
        <w:rPr>
          <w:rFonts w:cs="Arial"/>
          <w:b w:val="0"/>
          <w:bCs/>
          <w:color w:val="auto"/>
          <w:highlight w:val="none"/>
          <w:lang w:val="de-DE"/>
        </w:rPr>
        <w:tab/>
      </w:r>
      <w:r>
        <w:rPr>
          <w:rFonts w:cs="Arial"/>
          <w:b w:val="0"/>
          <w:bCs/>
          <w:color w:val="auto"/>
          <w:highlight w:val="none"/>
          <w:lang w:val="de-DE"/>
        </w:rPr>
        <w:t>&lt;</w:t>
      </w:r>
      <w:r>
        <w:rPr>
          <w:rFonts w:hint="eastAsia" w:cs="Arial"/>
          <w:b w:val="0"/>
          <w:bCs/>
          <w:color w:val="auto"/>
          <w:highlight w:val="none"/>
          <w:lang w:val="de-DE"/>
        </w:rPr>
        <w:t>lu.li@zte.com.cn</w:t>
      </w:r>
      <w:r>
        <w:rPr>
          <w:rFonts w:hint="eastAsia" w:cs="Arial"/>
          <w:b w:val="0"/>
          <w:bCs/>
          <w:color w:val="auto"/>
          <w:highlight w:val="none"/>
          <w:lang w:val="en-US" w:eastAsia="zh-CN"/>
        </w:rPr>
        <w:t>&gt;</w:t>
      </w:r>
    </w:p>
    <w:p>
      <w:pPr>
        <w:spacing w:after="60"/>
        <w:ind w:left="1985" w:hanging="1985"/>
        <w:rPr>
          <w:rFonts w:ascii="Arial" w:hAnsi="Arial" w:cs="Arial"/>
          <w:b/>
          <w:color w:val="auto"/>
          <w:lang w:val="de-DE"/>
        </w:rPr>
      </w:pPr>
    </w:p>
    <w:p>
      <w:pPr>
        <w:tabs>
          <w:tab w:val="left" w:pos="2268"/>
        </w:tabs>
        <w:rPr>
          <w:rFonts w:ascii="Arial" w:hAnsi="Arial" w:cs="Arial"/>
          <w:bCs/>
          <w:color w:val="auto"/>
        </w:rPr>
      </w:pPr>
      <w:r>
        <w:rPr>
          <w:rFonts w:ascii="Arial" w:hAnsi="Arial" w:cs="Arial"/>
          <w:b/>
          <w:color w:val="auto"/>
        </w:rPr>
        <w:t>Send any reply LS to:</w:t>
      </w:r>
      <w:r>
        <w:rPr>
          <w:rFonts w:ascii="Arial" w:hAnsi="Arial" w:cs="Arial"/>
          <w:b/>
          <w:color w:val="auto"/>
        </w:rPr>
        <w:tab/>
      </w:r>
      <w:r>
        <w:rPr>
          <w:rFonts w:ascii="Arial" w:hAnsi="Arial" w:cs="Arial"/>
          <w:b/>
          <w:color w:val="auto"/>
        </w:rPr>
        <w:t xml:space="preserve">3GPP Liaisons Coordinator, </w:t>
      </w:r>
      <w:r>
        <w:rPr>
          <w:rFonts w:ascii="Arial" w:hAnsi="Arial" w:cs="Arial"/>
          <w:b/>
          <w:color w:val="auto"/>
        </w:rPr>
        <w:fldChar w:fldCharType="begin"/>
      </w:r>
      <w:r>
        <w:rPr>
          <w:rFonts w:ascii="Arial" w:hAnsi="Arial" w:cs="Arial"/>
          <w:b/>
          <w:color w:val="auto"/>
        </w:rPr>
        <w:instrText xml:space="preserve"> HYPERLINK "mailto:3GPPLiaison@etsi.org" </w:instrText>
      </w:r>
      <w:r>
        <w:rPr>
          <w:rFonts w:ascii="Arial" w:hAnsi="Arial" w:cs="Arial"/>
          <w:b/>
          <w:color w:val="auto"/>
        </w:rPr>
        <w:fldChar w:fldCharType="separate"/>
      </w:r>
      <w:r>
        <w:rPr>
          <w:rStyle w:val="22"/>
          <w:rFonts w:ascii="Arial" w:hAnsi="Arial" w:cs="Arial"/>
          <w:b/>
          <w:color w:val="auto"/>
        </w:rPr>
        <w:t>mailto:3GPPLiaison@etsi.org</w:t>
      </w:r>
      <w:r>
        <w:rPr>
          <w:rFonts w:ascii="Arial" w:hAnsi="Arial" w:cs="Arial"/>
          <w:b/>
          <w:color w:val="auto"/>
        </w:rPr>
        <w:fldChar w:fldCharType="end"/>
      </w:r>
      <w:r>
        <w:rPr>
          <w:rFonts w:ascii="Arial" w:hAnsi="Arial" w:cs="Arial"/>
          <w:b/>
          <w:color w:val="auto"/>
        </w:rPr>
        <w:t xml:space="preserve"> </w:t>
      </w:r>
      <w:r>
        <w:rPr>
          <w:rFonts w:ascii="Arial" w:hAnsi="Arial" w:cs="Arial"/>
          <w:bCs/>
          <w:color w:val="auto"/>
        </w:rPr>
        <w:tab/>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none</w:t>
      </w: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spacing w:before="180" w:after="240" w:afterLines="100"/>
        <w:jc w:val="both"/>
        <w:rPr>
          <w:rFonts w:ascii="Arial" w:hAnsi="Arial" w:cs="Arial"/>
          <w:lang w:eastAsia="zh-CN"/>
        </w:rPr>
      </w:pPr>
      <w:r>
        <w:rPr>
          <w:rFonts w:hint="eastAsia" w:ascii="Arial" w:hAnsi="Arial" w:cs="Arial"/>
          <w:lang w:eastAsia="zh-CN"/>
        </w:rPr>
        <w:t>RAN4 thanks RAN1 for providing the LS. RAN4 has discussed the question from RAN1 and would like to provide the following response to RAN1.</w:t>
      </w:r>
    </w:p>
    <w:p>
      <w:pPr>
        <w:keepNext w:val="0"/>
        <w:keepLines w:val="0"/>
        <w:pageBreakBefore w:val="0"/>
        <w:widowControl/>
        <w:kinsoku/>
        <w:wordWrap/>
        <w:overflowPunct/>
        <w:topLinePunct w:val="0"/>
        <w:autoSpaceDE/>
        <w:autoSpaceDN/>
        <w:bidi w:val="0"/>
        <w:adjustRightInd/>
        <w:snapToGrid/>
        <w:spacing w:before="180" w:after="60"/>
        <w:jc w:val="both"/>
        <w:textAlignment w:val="auto"/>
        <w:rPr>
          <w:rFonts w:ascii="Arial" w:hAnsi="Arial" w:cs="Arial"/>
          <w:lang w:eastAsia="zh-CN"/>
        </w:rPr>
      </w:pPr>
      <w:r>
        <w:rPr>
          <w:rFonts w:ascii="Arial" w:hAnsi="Arial" w:cs="Arial"/>
          <w:b/>
          <w:bCs/>
          <w:lang w:eastAsia="zh-CN"/>
        </w:rPr>
        <w:t xml:space="preserve">Question 1: </w:t>
      </w:r>
      <w:r>
        <w:rPr>
          <w:rFonts w:ascii="Arial" w:hAnsi="Arial" w:eastAsia="宋体" w:cs="Arial"/>
        </w:rPr>
        <w:t>Does RAN2/RAN4 expect any backward compatibility issue for a UE not supporting less than 5MHz but provided with a neighbour cell with SSB on the new GSCN value in the scenario described above or other similar scenarios if any? For example, if a UE accessed a cell with SSB on the legacy GSCN value, the UE not supporting less than 5MHz may search SSB on the new GSCN values indicated in the common neighbour cell list and wrongly access the neighbour cell(s) in NR dedicated spectrum less than 5 MHz for FR1 with single carrier operation.</w:t>
      </w:r>
    </w:p>
    <w:p>
      <w:pPr>
        <w:keepNext w:val="0"/>
        <w:keepLines w:val="0"/>
        <w:pageBreakBefore w:val="0"/>
        <w:widowControl/>
        <w:kinsoku/>
        <w:wordWrap/>
        <w:overflowPunct/>
        <w:topLinePunct w:val="0"/>
        <w:autoSpaceDE/>
        <w:autoSpaceDN/>
        <w:bidi w:val="0"/>
        <w:adjustRightInd/>
        <w:snapToGrid/>
        <w:spacing w:before="60" w:after="240" w:afterLines="100"/>
        <w:jc w:val="both"/>
        <w:textAlignment w:val="auto"/>
        <w:rPr>
          <w:rFonts w:hint="eastAsia" w:ascii="Arial" w:hAnsi="Arial" w:cs="Arial"/>
          <w:color w:val="548DD4"/>
          <w:lang w:val="en-US" w:eastAsia="zh-CN"/>
        </w:rPr>
      </w:pPr>
      <w:r>
        <w:rPr>
          <w:rFonts w:hint="eastAsia" w:ascii="Arial" w:hAnsi="Arial" w:cs="Arial"/>
          <w:b/>
          <w:bCs/>
          <w:color w:val="548DD4"/>
          <w:lang w:val="en-US" w:eastAsia="zh-CN"/>
        </w:rPr>
        <w:t>RAN4 response:</w:t>
      </w:r>
      <w:r>
        <w:rPr>
          <w:rFonts w:hint="eastAsia" w:ascii="Arial" w:hAnsi="Arial" w:cs="Arial"/>
          <w:color w:val="548DD4"/>
          <w:lang w:val="en-US" w:eastAsia="zh-CN"/>
        </w:rPr>
        <w:t xml:space="preserve"> One of the motivations for designing a new sync raster for less than 5 MHz channel bandwidth is for legacy UE to differentiate the new GSCN values from the legacy GSCN values. And the offset between new sync-raster points and legacy sync-raster points is as large as possible. So the legacy UE not supporting the new GSCN design is not supposed to understand the new GSCN </w:t>
      </w:r>
      <w:bookmarkStart w:id="3" w:name="_GoBack"/>
      <w:bookmarkEnd w:id="3"/>
      <w:r>
        <w:rPr>
          <w:rFonts w:hint="eastAsia" w:ascii="Arial" w:hAnsi="Arial" w:cs="Arial"/>
          <w:color w:val="548DD4"/>
          <w:lang w:val="en-US" w:eastAsia="zh-CN"/>
        </w:rPr>
        <w:t>and its corresponding absolute SSB frequency corresponding to new GSCN. The new GSCN values are as follows:</w:t>
      </w:r>
    </w:p>
    <w:p>
      <w:pPr>
        <w:pStyle w:val="46"/>
        <w:ind w:firstLine="400"/>
      </w:pPr>
      <w:r>
        <w:t xml:space="preserve">Table 5.4.3.1-2: </w:t>
      </w:r>
      <w:r>
        <w:rPr>
          <w:rFonts w:eastAsia="Yu Mincho"/>
        </w:rPr>
        <w:t>GSCN parameters for the global frequency for 3 MHz channel bandwidth</w:t>
      </w:r>
    </w:p>
    <w:tbl>
      <w:tblPr>
        <w:tblStyle w:val="18"/>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pStyle w:val="47"/>
            </w:pPr>
            <w:r>
              <w:t>Range of frequencies (MHz)</w:t>
            </w:r>
          </w:p>
        </w:tc>
        <w:tc>
          <w:tcPr>
            <w:tcW w:w="3534" w:type="dxa"/>
            <w:shd w:val="clear" w:color="auto" w:fill="auto"/>
            <w:vAlign w:val="center"/>
          </w:tcPr>
          <w:p>
            <w:pPr>
              <w:pStyle w:val="47"/>
            </w:pPr>
            <w:r>
              <w:t>SS block frequency position SS</w:t>
            </w:r>
            <w:r>
              <w:rPr>
                <w:vertAlign w:val="subscript"/>
              </w:rPr>
              <w:t>REF</w:t>
            </w:r>
          </w:p>
        </w:tc>
        <w:tc>
          <w:tcPr>
            <w:tcW w:w="1927" w:type="dxa"/>
            <w:vAlign w:val="center"/>
          </w:tcPr>
          <w:p>
            <w:pPr>
              <w:pStyle w:val="47"/>
            </w:pPr>
            <w:r>
              <w:t>GSCN</w:t>
            </w:r>
          </w:p>
        </w:tc>
        <w:tc>
          <w:tcPr>
            <w:tcW w:w="1995" w:type="dxa"/>
            <w:shd w:val="clear" w:color="auto" w:fill="auto"/>
            <w:vAlign w:val="center"/>
          </w:tcPr>
          <w:p>
            <w:pPr>
              <w:pStyle w:val="47"/>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pStyle w:val="48"/>
              <w:rPr>
                <w:b/>
              </w:rPr>
            </w:pPr>
            <w:r>
              <w:rPr>
                <w:lang w:eastAsia="ja-JP"/>
              </w:rPr>
              <w:t>0 – 1000</w:t>
            </w:r>
          </w:p>
        </w:tc>
        <w:tc>
          <w:tcPr>
            <w:tcW w:w="3534" w:type="dxa"/>
            <w:shd w:val="clear" w:color="auto" w:fill="auto"/>
            <w:vAlign w:val="center"/>
          </w:tcPr>
          <w:p>
            <w:pPr>
              <w:pStyle w:val="48"/>
            </w:pPr>
            <w:r>
              <w:t>N * 600 kHz + M * 50 kHz + 300 kHz,</w:t>
            </w:r>
          </w:p>
          <w:p>
            <w:pPr>
              <w:pStyle w:val="48"/>
              <w:rPr>
                <w:b/>
              </w:rPr>
            </w:pPr>
            <w:r>
              <w:t>N = 1:1665, M ϵ {1,3,5} (Note 1)</w:t>
            </w:r>
          </w:p>
        </w:tc>
        <w:tc>
          <w:tcPr>
            <w:tcW w:w="1927" w:type="dxa"/>
            <w:vAlign w:val="center"/>
          </w:tcPr>
          <w:p>
            <w:pPr>
              <w:pStyle w:val="48"/>
            </w:pPr>
            <w:r>
              <w:t>26638+3N + (M-3)/2</w:t>
            </w:r>
          </w:p>
        </w:tc>
        <w:tc>
          <w:tcPr>
            <w:tcW w:w="1995" w:type="dxa"/>
            <w:shd w:val="clear" w:color="auto" w:fill="auto"/>
            <w:vAlign w:val="center"/>
          </w:tcPr>
          <w:p>
            <w:pPr>
              <w:pStyle w:val="48"/>
              <w:rPr>
                <w:b/>
              </w:rPr>
            </w:pPr>
            <w:r>
              <w:t>26640 – 31634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shd w:val="clear" w:color="auto" w:fill="auto"/>
            <w:vAlign w:val="center"/>
          </w:tcPr>
          <w:p>
            <w:pPr>
              <w:pStyle w:val="50"/>
            </w:pPr>
            <w:r>
              <w:t>NOTE 1:</w:t>
            </w:r>
            <w:r>
              <w:tab/>
            </w:r>
            <w:r>
              <w:t>Only applicable for 15 PRB DCH transmission within 3 MHz channel bandwidth with punctured PBCH defined in TS 38.211 [6] clause 7.4.3.1.</w:t>
            </w:r>
          </w:p>
        </w:tc>
      </w:tr>
    </w:tbl>
    <w:p>
      <w:pPr>
        <w:rPr>
          <w:lang w:eastAsia="zh-CN"/>
        </w:rPr>
      </w:pPr>
    </w:p>
    <w:p>
      <w:pPr>
        <w:pStyle w:val="46"/>
        <w:spacing w:before="120" w:after="120"/>
      </w:pPr>
      <w:r>
        <w:t>Table 5.4.3.1-</w:t>
      </w:r>
      <w:r>
        <w:rPr>
          <w:rFonts w:eastAsia="宋体"/>
          <w:lang w:val="en-US" w:eastAsia="zh-CN"/>
        </w:rPr>
        <w:t>3</w:t>
      </w:r>
      <w:r>
        <w:t xml:space="preserve">: </w:t>
      </w:r>
      <w:r>
        <w:rPr>
          <w:rFonts w:hint="eastAsia" w:eastAsia="宋体"/>
          <w:lang w:val="en-US" w:eastAsia="zh-CN"/>
        </w:rPr>
        <w:t xml:space="preserve">Additional </w:t>
      </w:r>
      <w:r>
        <w:t xml:space="preserve">GSCN parameters for </w:t>
      </w:r>
      <w:r>
        <w:rPr>
          <w:rFonts w:hint="eastAsia" w:eastAsia="宋体"/>
          <w:lang w:val="en-US" w:eastAsia="zh-CN"/>
        </w:rPr>
        <w:t>band n100</w:t>
      </w:r>
    </w:p>
    <w:tbl>
      <w:tblPr>
        <w:tblStyle w:val="18"/>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0"/>
        <w:gridCol w:w="1276"/>
        <w:gridCol w:w="4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pct"/>
            <w:shd w:val="clear" w:color="auto" w:fill="auto"/>
            <w:vAlign w:val="center"/>
          </w:tcPr>
          <w:p>
            <w:pPr>
              <w:pStyle w:val="47"/>
              <w:rPr>
                <w:vertAlign w:val="subscript"/>
              </w:rPr>
            </w:pPr>
            <w:r>
              <w:t>SS Block frequency position SS</w:t>
            </w:r>
            <w:r>
              <w:rPr>
                <w:vertAlign w:val="subscript"/>
              </w:rPr>
              <w:t>REF</w:t>
            </w:r>
          </w:p>
          <w:p>
            <w:pPr>
              <w:pStyle w:val="47"/>
            </w:pPr>
            <w:r>
              <w:t>(MHz)</w:t>
            </w:r>
          </w:p>
        </w:tc>
        <w:tc>
          <w:tcPr>
            <w:tcW w:w="703" w:type="pct"/>
            <w:shd w:val="clear" w:color="auto" w:fill="auto"/>
            <w:vAlign w:val="center"/>
          </w:tcPr>
          <w:p>
            <w:pPr>
              <w:pStyle w:val="47"/>
            </w:pPr>
            <w:r>
              <w:t>GSCN</w:t>
            </w:r>
          </w:p>
        </w:tc>
        <w:tc>
          <w:tcPr>
            <w:tcW w:w="2500" w:type="pct"/>
            <w:shd w:val="clear" w:color="auto" w:fill="auto"/>
            <w:vAlign w:val="center"/>
          </w:tcPr>
          <w:p>
            <w:pPr>
              <w:pStyle w:val="47"/>
              <w:rPr>
                <w:lang w:val="en-US" w:eastAsia="zh-CN"/>
              </w:rPr>
            </w:pPr>
            <w:r>
              <w:rPr>
                <w:rFonts w:hint="eastAsia"/>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797" w:type="pct"/>
            <w:shd w:val="clear" w:color="auto" w:fill="auto"/>
            <w:vAlign w:val="center"/>
          </w:tcPr>
          <w:p>
            <w:pPr>
              <w:pStyle w:val="48"/>
              <w:rPr>
                <w:bCs/>
              </w:rPr>
            </w:pPr>
            <w:r>
              <w:rPr>
                <w:rFonts w:hint="eastAsia"/>
                <w:bCs/>
                <w:lang w:val="en-US" w:eastAsia="zh-CN"/>
              </w:rPr>
              <w:t>920.73</w:t>
            </w:r>
          </w:p>
        </w:tc>
        <w:tc>
          <w:tcPr>
            <w:tcW w:w="703" w:type="pct"/>
            <w:shd w:val="clear" w:color="auto" w:fill="auto"/>
            <w:vAlign w:val="center"/>
          </w:tcPr>
          <w:p>
            <w:pPr>
              <w:pStyle w:val="48"/>
              <w:rPr>
                <w:bCs/>
              </w:rPr>
            </w:pPr>
            <w:r>
              <w:rPr>
                <w:rFonts w:hint="eastAsia"/>
                <w:bCs/>
                <w:lang w:val="en-US" w:eastAsia="zh-CN"/>
              </w:rPr>
              <w:t>4163</w:t>
            </w:r>
            <w:r>
              <w:rPr>
                <w:bCs/>
                <w:lang w:val="en-US" w:eastAsia="zh-CN"/>
              </w:rPr>
              <w:t>7</w:t>
            </w:r>
          </w:p>
        </w:tc>
        <w:tc>
          <w:tcPr>
            <w:tcW w:w="2500" w:type="pct"/>
            <w:shd w:val="clear" w:color="auto" w:fill="auto"/>
            <w:vAlign w:val="center"/>
          </w:tcPr>
          <w:p>
            <w:pPr>
              <w:pStyle w:val="48"/>
              <w:rPr>
                <w:bCs/>
                <w:lang w:val="en-US" w:eastAsia="zh-CN"/>
              </w:rPr>
            </w:pPr>
            <w:r>
              <w:rPr>
                <w:rFonts w:hint="eastAsia"/>
                <w:bCs/>
                <w:lang w:val="en-US" w:eastAsia="zh-CN"/>
              </w:rPr>
              <w:t>Only</w:t>
            </w:r>
            <w:r>
              <w:rPr>
                <w:rFonts w:hint="eastAsia"/>
                <w:bCs/>
              </w:rPr>
              <w:t xml:space="preserve"> applicable for </w:t>
            </w:r>
            <w:r>
              <w:rPr>
                <w:bCs/>
                <w:lang w:val="en-US" w:eastAsia="zh-CN"/>
              </w:rPr>
              <w:t>12 PRB transmission bandwidth configuration within 3 MHz channel with punctured PBCH defined in TS 38.211 [6] clause 7.4.3.1.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pct"/>
            <w:shd w:val="clear" w:color="auto" w:fill="auto"/>
            <w:vAlign w:val="center"/>
          </w:tcPr>
          <w:p>
            <w:pPr>
              <w:pStyle w:val="48"/>
              <w:rPr>
                <w:bCs/>
              </w:rPr>
            </w:pPr>
            <w:r>
              <w:rPr>
                <w:rFonts w:hint="eastAsia"/>
                <w:bCs/>
                <w:lang w:val="en-US" w:eastAsia="zh-CN"/>
              </w:rPr>
              <w:t>921.45</w:t>
            </w:r>
          </w:p>
        </w:tc>
        <w:tc>
          <w:tcPr>
            <w:tcW w:w="703" w:type="pct"/>
            <w:shd w:val="clear" w:color="auto" w:fill="auto"/>
            <w:vAlign w:val="center"/>
          </w:tcPr>
          <w:p>
            <w:pPr>
              <w:pStyle w:val="48"/>
              <w:rPr>
                <w:bCs/>
              </w:rPr>
            </w:pPr>
            <w:r>
              <w:rPr>
                <w:bCs/>
                <w:lang w:val="en-US" w:eastAsia="zh-CN"/>
              </w:rPr>
              <w:t>41638</w:t>
            </w:r>
          </w:p>
        </w:tc>
        <w:tc>
          <w:tcPr>
            <w:tcW w:w="2500" w:type="pct"/>
            <w:shd w:val="clear" w:color="auto" w:fill="auto"/>
            <w:vAlign w:val="center"/>
          </w:tcPr>
          <w:p>
            <w:pPr>
              <w:pStyle w:val="48"/>
              <w:rPr>
                <w:bCs/>
              </w:rPr>
            </w:pPr>
            <w:r>
              <w:rPr>
                <w:rFonts w:hint="eastAsia"/>
                <w:bCs/>
                <w:lang w:val="en-US" w:eastAsia="zh-CN"/>
              </w:rPr>
              <w:t>Only</w:t>
            </w:r>
            <w:r>
              <w:rPr>
                <w:rFonts w:hint="eastAsia"/>
                <w:bCs/>
              </w:rPr>
              <w:t xml:space="preserve"> applicable </w:t>
            </w:r>
            <w:r>
              <w:t>for 20 PRB transmission bandwidth configuration within 5 MHz channel with unpunctured PBCH defined in TS 38.211 [6] clause 7.4.3.1.</w:t>
            </w:r>
          </w:p>
        </w:tc>
      </w:tr>
    </w:tbl>
    <w:p>
      <w:pPr>
        <w:keepNext w:val="0"/>
        <w:keepLines w:val="0"/>
        <w:pageBreakBefore w:val="0"/>
        <w:widowControl/>
        <w:kinsoku/>
        <w:wordWrap/>
        <w:overflowPunct/>
        <w:topLinePunct w:val="0"/>
        <w:autoSpaceDE/>
        <w:autoSpaceDN/>
        <w:bidi w:val="0"/>
        <w:adjustRightInd/>
        <w:snapToGrid/>
        <w:spacing w:before="60" w:after="240" w:afterLines="100"/>
        <w:jc w:val="both"/>
        <w:textAlignment w:val="auto"/>
        <w:rPr>
          <w:rFonts w:hint="default" w:ascii="Arial" w:hAnsi="Arial" w:cs="Arial"/>
          <w:color w:val="548DD4"/>
          <w:lang w:val="en-US" w:eastAsia="zh-CN"/>
        </w:rPr>
      </w:pPr>
    </w:p>
    <w:p>
      <w:pPr>
        <w:spacing w:before="180" w:after="240" w:afterLines="100"/>
        <w:jc w:val="both"/>
        <w:rPr>
          <w:rFonts w:ascii="Arial" w:hAnsi="Arial" w:cs="Arial"/>
          <w:bCs/>
        </w:rPr>
      </w:pPr>
      <w:r>
        <w:rPr>
          <w:rFonts w:ascii="Arial" w:hAnsi="Arial" w:cs="Arial"/>
          <w:b/>
        </w:rPr>
        <w:t xml:space="preserve">2. Actions: </w:t>
      </w:r>
      <w:r>
        <w:rPr>
          <w:rFonts w:hint="eastAsia" w:ascii="Arial" w:hAnsi="Arial" w:cs="Arial"/>
          <w:bCs/>
        </w:rPr>
        <w:t>RAN</w:t>
      </w:r>
      <w:r>
        <w:rPr>
          <w:rFonts w:hint="eastAsia" w:ascii="Arial" w:hAnsi="Arial" w:cs="Arial"/>
          <w:bCs/>
          <w:lang w:val="en-US" w:eastAsia="zh-CN"/>
        </w:rPr>
        <w:t>4</w:t>
      </w:r>
      <w:r>
        <w:rPr>
          <w:rFonts w:hint="eastAsia" w:ascii="Arial" w:hAnsi="Arial" w:cs="Arial"/>
          <w:bCs/>
        </w:rPr>
        <w:t xml:space="preserve"> respectfully asks RAN</w:t>
      </w:r>
      <w:r>
        <w:rPr>
          <w:rFonts w:hint="eastAsia" w:ascii="Arial" w:hAnsi="Arial" w:cs="Arial"/>
          <w:bCs/>
          <w:lang w:val="en-US" w:eastAsia="zh-CN"/>
        </w:rPr>
        <w:t>1</w:t>
      </w:r>
      <w:r>
        <w:rPr>
          <w:rFonts w:hint="eastAsia" w:ascii="Arial" w:hAnsi="Arial" w:cs="Arial"/>
          <w:bCs/>
        </w:rPr>
        <w:t xml:space="preserve"> to take the RAN</w:t>
      </w:r>
      <w:r>
        <w:rPr>
          <w:rFonts w:hint="eastAsia" w:ascii="Arial" w:hAnsi="Arial" w:cs="Arial"/>
          <w:bCs/>
          <w:lang w:val="en-US" w:eastAsia="zh-CN"/>
        </w:rPr>
        <w:t>4</w:t>
      </w:r>
      <w:r>
        <w:rPr>
          <w:rFonts w:hint="eastAsia" w:ascii="Arial" w:hAnsi="Arial" w:cs="Arial"/>
          <w:bCs/>
        </w:rPr>
        <w:t xml:space="preserve"> replies into account in their work.</w:t>
      </w:r>
    </w:p>
    <w:p>
      <w:pPr>
        <w:spacing w:after="120"/>
        <w:jc w:val="both"/>
        <w:rPr>
          <w:rFonts w:ascii="Arial" w:hAnsi="Arial" w:cs="Arial"/>
          <w:b/>
        </w:rPr>
      </w:pPr>
    </w:p>
    <w:p>
      <w:pPr>
        <w:spacing w:after="120"/>
        <w:rPr>
          <w:rFonts w:ascii="Arial" w:hAnsi="Arial" w:cs="Arial"/>
          <w:b/>
          <w:color w:val="auto"/>
        </w:rPr>
      </w:pPr>
      <w:r>
        <w:rPr>
          <w:rFonts w:ascii="Arial" w:hAnsi="Arial" w:cs="Arial"/>
          <w:b/>
        </w:rPr>
        <w:t>3. Dates of N</w:t>
      </w:r>
      <w:r>
        <w:rPr>
          <w:rFonts w:ascii="Arial" w:hAnsi="Arial" w:cs="Arial"/>
          <w:b/>
          <w:color w:val="auto"/>
        </w:rPr>
        <w:t>ext RAN WG</w:t>
      </w:r>
      <w:r>
        <w:rPr>
          <w:rFonts w:hint="eastAsia" w:ascii="Arial" w:hAnsi="Arial" w:cs="Arial"/>
          <w:b/>
          <w:color w:val="auto"/>
          <w:lang w:val="en-US" w:eastAsia="zh-CN"/>
        </w:rPr>
        <w:t>4</w:t>
      </w:r>
      <w:r>
        <w:rPr>
          <w:rFonts w:ascii="Arial" w:hAnsi="Arial" w:cs="Arial"/>
          <w:b/>
          <w:color w:val="auto"/>
        </w:rPr>
        <w:t xml:space="preserve"> Meetings:</w:t>
      </w:r>
    </w:p>
    <w:p>
      <w:pPr>
        <w:tabs>
          <w:tab w:val="left" w:pos="4253"/>
          <w:tab w:val="left" w:pos="7655"/>
        </w:tabs>
        <w:spacing w:after="120"/>
        <w:ind w:left="2268" w:hanging="2268"/>
        <w:rPr>
          <w:rFonts w:hint="default" w:ascii="Arial" w:hAnsi="Arial" w:eastAsia="宋体" w:cs="Arial"/>
          <w:bCs/>
          <w:color w:val="auto"/>
          <w:lang w:val="en-US" w:eastAsia="zh-CN"/>
        </w:rPr>
      </w:pPr>
      <w:r>
        <w:rPr>
          <w:rFonts w:ascii="Arial" w:hAnsi="Arial" w:eastAsia="MS Mincho" w:cs="Arial"/>
          <w:bCs/>
          <w:color w:val="auto"/>
          <w:lang w:val="en-US"/>
        </w:rPr>
        <w:t>TSG RAN WG</w:t>
      </w:r>
      <w:r>
        <w:rPr>
          <w:rFonts w:hint="eastAsia" w:ascii="Arial" w:hAnsi="Arial" w:eastAsia="宋体" w:cs="Arial"/>
          <w:bCs/>
          <w:color w:val="auto"/>
          <w:lang w:val="en-US" w:eastAsia="zh-CN"/>
        </w:rPr>
        <w:t>4</w:t>
      </w:r>
      <w:r>
        <w:rPr>
          <w:rFonts w:ascii="Arial" w:hAnsi="Arial" w:eastAsia="MS Mincho" w:cs="Arial"/>
          <w:bCs/>
          <w:color w:val="auto"/>
          <w:lang w:val="en-US"/>
        </w:rPr>
        <w:t xml:space="preserve"> Meeting #1</w:t>
      </w:r>
      <w:r>
        <w:rPr>
          <w:rFonts w:hint="eastAsia" w:ascii="Arial" w:hAnsi="Arial" w:cs="Arial"/>
          <w:bCs/>
          <w:color w:val="auto"/>
          <w:lang w:val="en-US" w:eastAsia="zh-CN"/>
        </w:rPr>
        <w:t>10-bis</w:t>
      </w:r>
      <w:r>
        <w:rPr>
          <w:rFonts w:ascii="Arial" w:hAnsi="Arial" w:eastAsia="MS Mincho" w:cs="Arial"/>
          <w:bCs/>
          <w:color w:val="auto"/>
          <w:lang w:val="en-US"/>
        </w:rPr>
        <w:tab/>
      </w:r>
      <w:r>
        <w:rPr>
          <w:rFonts w:hint="eastAsia" w:ascii="Arial" w:hAnsi="Arial" w:eastAsia="宋体" w:cs="Arial"/>
          <w:bCs/>
          <w:lang w:val="en-US" w:eastAsia="zh-CN"/>
        </w:rPr>
        <w:t>April</w:t>
      </w:r>
      <w:r>
        <w:rPr>
          <w:rFonts w:ascii="Arial" w:hAnsi="Arial" w:eastAsia="MS Mincho" w:cs="Arial"/>
          <w:bCs/>
          <w:color w:val="auto"/>
          <w:lang w:val="en-US"/>
        </w:rPr>
        <w:t xml:space="preserve"> </w:t>
      </w:r>
      <w:r>
        <w:rPr>
          <w:rFonts w:hint="eastAsia" w:ascii="Arial" w:hAnsi="Arial" w:eastAsia="宋体" w:cs="Arial"/>
          <w:bCs/>
          <w:color w:val="auto"/>
          <w:lang w:val="en-US" w:eastAsia="zh-CN"/>
        </w:rPr>
        <w:t>15</w:t>
      </w:r>
      <w:r>
        <w:rPr>
          <w:rFonts w:ascii="Arial" w:hAnsi="Arial" w:eastAsia="MS Mincho" w:cs="Arial"/>
          <w:bCs/>
          <w:color w:val="auto"/>
          <w:vertAlign w:val="superscript"/>
          <w:lang w:val="en-US"/>
        </w:rPr>
        <w:t>th</w:t>
      </w:r>
      <w:r>
        <w:rPr>
          <w:rFonts w:ascii="Arial" w:hAnsi="Arial" w:eastAsia="MS Mincho" w:cs="Arial"/>
          <w:bCs/>
          <w:color w:val="auto"/>
          <w:lang w:val="en-US"/>
        </w:rPr>
        <w:t xml:space="preserve"> – </w:t>
      </w:r>
      <w:r>
        <w:rPr>
          <w:rFonts w:hint="eastAsia" w:ascii="Arial" w:hAnsi="Arial" w:eastAsia="宋体" w:cs="Arial"/>
          <w:bCs/>
          <w:lang w:val="en-US" w:eastAsia="zh-CN"/>
        </w:rPr>
        <w:t>April</w:t>
      </w:r>
      <w:r>
        <w:rPr>
          <w:rFonts w:ascii="Arial" w:hAnsi="Arial" w:eastAsia="MS Mincho" w:cs="Arial"/>
          <w:bCs/>
          <w:color w:val="auto"/>
          <w:lang w:val="en-US"/>
        </w:rPr>
        <w:t xml:space="preserve"> </w:t>
      </w:r>
      <w:r>
        <w:rPr>
          <w:rFonts w:hint="eastAsia" w:ascii="Arial" w:hAnsi="Arial" w:eastAsia="宋体" w:cs="Arial"/>
          <w:bCs/>
          <w:color w:val="auto"/>
          <w:lang w:val="en-US" w:eastAsia="zh-CN"/>
        </w:rPr>
        <w:t>1</w:t>
      </w:r>
      <w:r>
        <w:rPr>
          <w:rFonts w:hint="eastAsia" w:ascii="Arial" w:hAnsi="Arial" w:cs="Arial"/>
          <w:bCs/>
          <w:color w:val="auto"/>
          <w:lang w:val="en-US" w:eastAsia="zh-CN"/>
        </w:rPr>
        <w:t>9</w:t>
      </w:r>
      <w:r>
        <w:rPr>
          <w:rFonts w:ascii="Arial" w:hAnsi="Arial" w:eastAsia="MS Mincho" w:cs="Arial"/>
          <w:bCs/>
          <w:color w:val="auto"/>
          <w:vertAlign w:val="superscript"/>
          <w:lang w:val="en-US"/>
        </w:rPr>
        <w:t>th</w:t>
      </w:r>
      <w:r>
        <w:rPr>
          <w:rFonts w:ascii="Arial" w:hAnsi="Arial" w:eastAsia="MS Mincho" w:cs="Arial"/>
          <w:bCs/>
          <w:color w:val="auto"/>
          <w:lang w:val="en-US"/>
        </w:rPr>
        <w:t>, 202</w:t>
      </w:r>
      <w:r>
        <w:rPr>
          <w:rFonts w:hint="eastAsia" w:ascii="Arial" w:hAnsi="Arial" w:eastAsia="宋体" w:cs="Arial"/>
          <w:bCs/>
          <w:color w:val="auto"/>
          <w:lang w:val="en-US" w:eastAsia="zh-CN"/>
        </w:rPr>
        <w:t>4</w:t>
      </w:r>
      <w:r>
        <w:rPr>
          <w:rFonts w:ascii="Arial" w:hAnsi="Arial" w:eastAsia="MS Mincho" w:cs="Arial"/>
          <w:bCs/>
          <w:color w:val="auto"/>
          <w:lang w:val="en-US"/>
        </w:rPr>
        <w:tab/>
      </w:r>
      <w:r>
        <w:rPr>
          <w:rFonts w:hint="eastAsia" w:ascii="Arial" w:hAnsi="Arial" w:eastAsia="宋体" w:cs="Arial"/>
          <w:bCs/>
          <w:color w:val="auto"/>
          <w:lang w:val="en-US" w:eastAsia="zh-CN"/>
        </w:rPr>
        <w:t>China</w:t>
      </w:r>
    </w:p>
    <w:p>
      <w:pPr>
        <w:tabs>
          <w:tab w:val="left" w:pos="4253"/>
          <w:tab w:val="left" w:pos="7655"/>
        </w:tabs>
        <w:spacing w:after="120"/>
        <w:ind w:left="2268" w:hanging="2268"/>
        <w:rPr>
          <w:rFonts w:hint="default" w:ascii="Arial" w:hAnsi="Arial" w:eastAsia="宋体" w:cs="Arial"/>
          <w:bCs/>
          <w:lang w:val="en-US" w:eastAsia="zh-CN"/>
        </w:rPr>
      </w:pPr>
      <w:r>
        <w:rPr>
          <w:rFonts w:ascii="Arial" w:hAnsi="Arial" w:eastAsia="MS Mincho" w:cs="Arial"/>
          <w:bCs/>
          <w:color w:val="auto"/>
          <w:lang w:val="en-US"/>
        </w:rPr>
        <w:t>TSG RAN WG</w:t>
      </w:r>
      <w:r>
        <w:rPr>
          <w:rFonts w:hint="eastAsia" w:ascii="Arial" w:hAnsi="Arial" w:eastAsia="宋体" w:cs="Arial"/>
          <w:bCs/>
          <w:color w:val="auto"/>
          <w:lang w:val="en-US" w:eastAsia="zh-CN"/>
        </w:rPr>
        <w:t>4</w:t>
      </w:r>
      <w:r>
        <w:rPr>
          <w:rFonts w:ascii="Arial" w:hAnsi="Arial" w:eastAsia="MS Mincho" w:cs="Arial"/>
          <w:bCs/>
          <w:color w:val="auto"/>
          <w:lang w:val="en-US"/>
        </w:rPr>
        <w:t xml:space="preserve"> Meeting #1</w:t>
      </w:r>
      <w:r>
        <w:rPr>
          <w:rFonts w:hint="eastAsia" w:ascii="Arial" w:hAnsi="Arial" w:cs="Arial"/>
          <w:bCs/>
          <w:color w:val="auto"/>
          <w:lang w:val="en-US" w:eastAsia="zh-CN"/>
        </w:rPr>
        <w:t>11</w:t>
      </w:r>
      <w:r>
        <w:rPr>
          <w:rFonts w:ascii="Arial" w:hAnsi="Arial" w:eastAsia="MS Mincho" w:cs="Arial"/>
          <w:bCs/>
          <w:lang w:val="en-US"/>
        </w:rPr>
        <w:tab/>
      </w:r>
      <w:r>
        <w:rPr>
          <w:rFonts w:hint="eastAsia" w:ascii="Arial" w:hAnsi="Arial" w:cs="Arial"/>
          <w:bCs/>
          <w:lang w:val="en-US" w:eastAsia="zh-CN"/>
        </w:rPr>
        <w:t>May</w:t>
      </w:r>
      <w:r>
        <w:rPr>
          <w:rFonts w:hint="eastAsia" w:ascii="Arial" w:hAnsi="Arial" w:eastAsia="宋体" w:cs="Arial"/>
          <w:bCs/>
          <w:lang w:val="en-US" w:eastAsia="zh-CN"/>
        </w:rPr>
        <w:t xml:space="preserve"> </w:t>
      </w:r>
      <w:r>
        <w:rPr>
          <w:rFonts w:hint="eastAsia" w:ascii="Arial" w:hAnsi="Arial" w:cs="Arial"/>
          <w:bCs/>
          <w:lang w:val="en-US" w:eastAsia="zh-CN"/>
        </w:rPr>
        <w:t>20</w:t>
      </w:r>
      <w:r>
        <w:rPr>
          <w:rFonts w:hint="eastAsia" w:ascii="Arial" w:hAnsi="Arial" w:eastAsia="宋体" w:cs="Arial"/>
          <w:bCs/>
          <w:vertAlign w:val="superscript"/>
          <w:lang w:val="en-US" w:eastAsia="zh-CN"/>
        </w:rPr>
        <w:t>th</w:t>
      </w:r>
      <w:r>
        <w:rPr>
          <w:rFonts w:ascii="Arial" w:hAnsi="Arial" w:eastAsia="MS Mincho" w:cs="Arial"/>
          <w:bCs/>
          <w:lang w:val="en-US"/>
        </w:rPr>
        <w:t xml:space="preserve"> – </w:t>
      </w:r>
      <w:r>
        <w:rPr>
          <w:rFonts w:hint="eastAsia" w:ascii="Arial" w:hAnsi="Arial" w:cs="Arial"/>
          <w:bCs/>
          <w:lang w:val="en-US" w:eastAsia="zh-CN"/>
        </w:rPr>
        <w:t>May</w:t>
      </w:r>
      <w:r>
        <w:rPr>
          <w:rFonts w:ascii="Arial" w:hAnsi="Arial" w:eastAsia="MS Mincho" w:cs="Arial"/>
          <w:bCs/>
          <w:lang w:val="en-US"/>
        </w:rPr>
        <w:t xml:space="preserve"> </w:t>
      </w:r>
      <w:r>
        <w:rPr>
          <w:rFonts w:hint="eastAsia" w:ascii="Arial" w:hAnsi="Arial" w:eastAsia="宋体" w:cs="Arial"/>
          <w:bCs/>
          <w:lang w:val="en-US" w:eastAsia="zh-CN"/>
        </w:rPr>
        <w:t>2</w:t>
      </w:r>
      <w:r>
        <w:rPr>
          <w:rFonts w:hint="eastAsia" w:ascii="Arial" w:hAnsi="Arial" w:cs="Arial"/>
          <w:bCs/>
          <w:lang w:val="en-US" w:eastAsia="zh-CN"/>
        </w:rPr>
        <w:t>4</w:t>
      </w:r>
      <w:r>
        <w:rPr>
          <w:rFonts w:hint="eastAsia" w:ascii="Arial" w:hAnsi="Arial" w:eastAsia="宋体" w:cs="Arial"/>
          <w:bCs/>
          <w:vertAlign w:val="superscript"/>
          <w:lang w:val="en-US" w:eastAsia="zh-CN"/>
        </w:rPr>
        <w:t>th</w:t>
      </w:r>
      <w:r>
        <w:rPr>
          <w:rFonts w:hint="eastAsia" w:ascii="Arial" w:hAnsi="Arial" w:eastAsia="宋体" w:cs="Arial"/>
          <w:bCs/>
          <w:lang w:val="en-US" w:eastAsia="zh-CN"/>
        </w:rPr>
        <w:t xml:space="preserve">, </w:t>
      </w:r>
      <w:r>
        <w:rPr>
          <w:rFonts w:ascii="Arial" w:hAnsi="Arial" w:eastAsia="MS Mincho" w:cs="Arial"/>
          <w:bCs/>
          <w:lang w:val="en-US"/>
        </w:rPr>
        <w:t>202</w:t>
      </w:r>
      <w:r>
        <w:rPr>
          <w:rFonts w:hint="eastAsia" w:ascii="Arial" w:hAnsi="Arial" w:eastAsia="宋体" w:cs="Arial"/>
          <w:bCs/>
          <w:lang w:val="en-US" w:eastAsia="zh-CN"/>
        </w:rPr>
        <w:t>4</w:t>
      </w:r>
      <w:r>
        <w:rPr>
          <w:rFonts w:ascii="Arial" w:hAnsi="Arial" w:eastAsia="MS Mincho" w:cs="Arial"/>
          <w:bCs/>
          <w:lang w:val="en-US"/>
        </w:rPr>
        <w:tab/>
      </w:r>
      <w:r>
        <w:rPr>
          <w:rFonts w:hint="eastAsia" w:ascii="Arial" w:hAnsi="Arial" w:cs="Arial"/>
          <w:bCs/>
          <w:highlight w:val="none"/>
          <w:lang w:val="en-US" w:eastAsia="zh-CN"/>
        </w:rPr>
        <w:t>Japan</w:t>
      </w:r>
    </w:p>
    <w:sectPr>
      <w:pgSz w:w="11907" w:h="16840"/>
      <w:pgMar w:top="1021" w:right="1021" w:bottom="1021" w:left="12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onotype Sorts">
    <w:altName w:val="Segoe UI Symbol"/>
    <w:panose1 w:val="00000000000000000000"/>
    <w:charset w:val="02"/>
    <w:family w:val="auto"/>
    <w:pitch w:val="default"/>
    <w:sig w:usb0="00000000" w:usb1="00000000" w:usb2="00000000" w:usb3="00000000" w:csb0="80000000" w:csb1="00000000"/>
  </w:font>
  <w:font w:name="Webdings">
    <w:panose1 w:val="05030102010509060703"/>
    <w:charset w:val="02"/>
    <w:family w:val="roman"/>
    <w:pitch w:val="default"/>
    <w:sig w:usb0="00000000" w:usb1="00000000" w:usb2="00000000" w:usb3="00000000" w:csb0="80000000"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8"/>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40"/>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44"/>
      <w:lvlText w:val=""/>
      <w:lvlJc w:val="left"/>
      <w:pPr>
        <w:tabs>
          <w:tab w:val="left" w:pos="360"/>
        </w:tabs>
        <w:ind w:left="360" w:hanging="360"/>
      </w:pPr>
      <w:rPr>
        <w:rFonts w:hint="default" w:ascii="Wingdings" w:hAnsi="Wingdings"/>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removePersonalInformation/>
  <w:bordersDoNotSurroundHeader w:val="0"/>
  <w:bordersDoNotSurroundFooter w:val="0"/>
  <w:documentProtection w:enforcement="0"/>
  <w:defaultTabStop w:val="720"/>
  <w:hyphenationZone w:val="360"/>
  <w:displayHorizontalDrawingGridEvery w:val="1"/>
  <w:displayVerticalDrawingGridEvery w:val="1"/>
  <w:doNotUseMarginsForDrawingGridOrigin w:val="1"/>
  <w:drawingGridHorizontalOrigin w:val="1701"/>
  <w:drawingGridVerticalOrigin w:val="1984"/>
  <w:noPunctuationKerning w:val="1"/>
  <w:characterSpacingControl w:val="doNotCompress"/>
  <w:compat>
    <w:doNotExpandShiftReturn/>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459A3"/>
    <w:rsid w:val="000534DF"/>
    <w:rsid w:val="00060BDB"/>
    <w:rsid w:val="000618F1"/>
    <w:rsid w:val="000626AE"/>
    <w:rsid w:val="00067361"/>
    <w:rsid w:val="0006775A"/>
    <w:rsid w:val="0007062C"/>
    <w:rsid w:val="00092D87"/>
    <w:rsid w:val="000A55EB"/>
    <w:rsid w:val="000B3269"/>
    <w:rsid w:val="000B370A"/>
    <w:rsid w:val="000C2522"/>
    <w:rsid w:val="000D0B31"/>
    <w:rsid w:val="000D4840"/>
    <w:rsid w:val="000E0E9B"/>
    <w:rsid w:val="000E417B"/>
    <w:rsid w:val="000E4239"/>
    <w:rsid w:val="000E55FA"/>
    <w:rsid w:val="000E5C69"/>
    <w:rsid w:val="000F0C7C"/>
    <w:rsid w:val="000F2587"/>
    <w:rsid w:val="000F36EF"/>
    <w:rsid w:val="00102347"/>
    <w:rsid w:val="00123688"/>
    <w:rsid w:val="001272EA"/>
    <w:rsid w:val="001345D5"/>
    <w:rsid w:val="00136114"/>
    <w:rsid w:val="00136679"/>
    <w:rsid w:val="0014659F"/>
    <w:rsid w:val="00146ACD"/>
    <w:rsid w:val="001477A8"/>
    <w:rsid w:val="00156CBB"/>
    <w:rsid w:val="00157686"/>
    <w:rsid w:val="00157A3E"/>
    <w:rsid w:val="00161AA0"/>
    <w:rsid w:val="0016488D"/>
    <w:rsid w:val="0016511B"/>
    <w:rsid w:val="00166746"/>
    <w:rsid w:val="0017220F"/>
    <w:rsid w:val="00175AF5"/>
    <w:rsid w:val="00180D66"/>
    <w:rsid w:val="0018708A"/>
    <w:rsid w:val="001A35B6"/>
    <w:rsid w:val="001A3A43"/>
    <w:rsid w:val="001B0613"/>
    <w:rsid w:val="001B5161"/>
    <w:rsid w:val="001C0F7A"/>
    <w:rsid w:val="001C3549"/>
    <w:rsid w:val="001C4946"/>
    <w:rsid w:val="001D13AD"/>
    <w:rsid w:val="001D15BE"/>
    <w:rsid w:val="001D5C16"/>
    <w:rsid w:val="001E07C4"/>
    <w:rsid w:val="001E77AC"/>
    <w:rsid w:val="001F147D"/>
    <w:rsid w:val="001F44BD"/>
    <w:rsid w:val="001F6D10"/>
    <w:rsid w:val="002035AC"/>
    <w:rsid w:val="002065C9"/>
    <w:rsid w:val="002067ED"/>
    <w:rsid w:val="00215CA7"/>
    <w:rsid w:val="002175D3"/>
    <w:rsid w:val="0022124B"/>
    <w:rsid w:val="00231D86"/>
    <w:rsid w:val="002330B1"/>
    <w:rsid w:val="00233B55"/>
    <w:rsid w:val="00233D1C"/>
    <w:rsid w:val="002350A6"/>
    <w:rsid w:val="00236659"/>
    <w:rsid w:val="00245870"/>
    <w:rsid w:val="00256FBA"/>
    <w:rsid w:val="00261652"/>
    <w:rsid w:val="00264F47"/>
    <w:rsid w:val="002717E7"/>
    <w:rsid w:val="00272130"/>
    <w:rsid w:val="00274D85"/>
    <w:rsid w:val="0027773C"/>
    <w:rsid w:val="002807AA"/>
    <w:rsid w:val="00281928"/>
    <w:rsid w:val="00284E42"/>
    <w:rsid w:val="0028672D"/>
    <w:rsid w:val="0029268C"/>
    <w:rsid w:val="00295192"/>
    <w:rsid w:val="002B64E7"/>
    <w:rsid w:val="002C0BFE"/>
    <w:rsid w:val="002C3E10"/>
    <w:rsid w:val="002C7058"/>
    <w:rsid w:val="002D13EF"/>
    <w:rsid w:val="002D1ABB"/>
    <w:rsid w:val="002D40E7"/>
    <w:rsid w:val="002D5BFE"/>
    <w:rsid w:val="002F2E15"/>
    <w:rsid w:val="002F7AD0"/>
    <w:rsid w:val="00301F43"/>
    <w:rsid w:val="003045B5"/>
    <w:rsid w:val="00306EB6"/>
    <w:rsid w:val="00317814"/>
    <w:rsid w:val="00317E23"/>
    <w:rsid w:val="00333655"/>
    <w:rsid w:val="00333EC1"/>
    <w:rsid w:val="003472CC"/>
    <w:rsid w:val="003533A6"/>
    <w:rsid w:val="00353590"/>
    <w:rsid w:val="00355EF3"/>
    <w:rsid w:val="00372906"/>
    <w:rsid w:val="00372B5E"/>
    <w:rsid w:val="00374E01"/>
    <w:rsid w:val="00391CA6"/>
    <w:rsid w:val="003977DA"/>
    <w:rsid w:val="003A0AFD"/>
    <w:rsid w:val="003A0F99"/>
    <w:rsid w:val="003A2FCD"/>
    <w:rsid w:val="003A6227"/>
    <w:rsid w:val="003B04BC"/>
    <w:rsid w:val="003B0D08"/>
    <w:rsid w:val="003C5098"/>
    <w:rsid w:val="003C666F"/>
    <w:rsid w:val="003C72F4"/>
    <w:rsid w:val="003D1F83"/>
    <w:rsid w:val="003D562C"/>
    <w:rsid w:val="003D5EFC"/>
    <w:rsid w:val="00402D77"/>
    <w:rsid w:val="004053CC"/>
    <w:rsid w:val="004131AD"/>
    <w:rsid w:val="00413D83"/>
    <w:rsid w:val="00416E04"/>
    <w:rsid w:val="00424C12"/>
    <w:rsid w:val="004256C3"/>
    <w:rsid w:val="00426890"/>
    <w:rsid w:val="00432648"/>
    <w:rsid w:val="004402BA"/>
    <w:rsid w:val="004446C5"/>
    <w:rsid w:val="00447DBC"/>
    <w:rsid w:val="00450269"/>
    <w:rsid w:val="00454E1B"/>
    <w:rsid w:val="0046083D"/>
    <w:rsid w:val="00463675"/>
    <w:rsid w:val="0046640A"/>
    <w:rsid w:val="004852E5"/>
    <w:rsid w:val="00493794"/>
    <w:rsid w:val="00497B45"/>
    <w:rsid w:val="004C604B"/>
    <w:rsid w:val="004C71DC"/>
    <w:rsid w:val="004D1CD2"/>
    <w:rsid w:val="004F12D0"/>
    <w:rsid w:val="00511873"/>
    <w:rsid w:val="005149F1"/>
    <w:rsid w:val="0052073E"/>
    <w:rsid w:val="005257AB"/>
    <w:rsid w:val="0053788C"/>
    <w:rsid w:val="00543B79"/>
    <w:rsid w:val="005459BD"/>
    <w:rsid w:val="005460B3"/>
    <w:rsid w:val="0054629C"/>
    <w:rsid w:val="0054670A"/>
    <w:rsid w:val="005474C8"/>
    <w:rsid w:val="00551589"/>
    <w:rsid w:val="00554375"/>
    <w:rsid w:val="005576A1"/>
    <w:rsid w:val="0056019C"/>
    <w:rsid w:val="00561F32"/>
    <w:rsid w:val="00563CA3"/>
    <w:rsid w:val="00574B5E"/>
    <w:rsid w:val="00577910"/>
    <w:rsid w:val="0058376B"/>
    <w:rsid w:val="00591B56"/>
    <w:rsid w:val="00591F4C"/>
    <w:rsid w:val="00597C34"/>
    <w:rsid w:val="005A2277"/>
    <w:rsid w:val="005B2A24"/>
    <w:rsid w:val="005C0C8A"/>
    <w:rsid w:val="005C2C6A"/>
    <w:rsid w:val="005D03AA"/>
    <w:rsid w:val="005D0440"/>
    <w:rsid w:val="005E3B7C"/>
    <w:rsid w:val="005E573C"/>
    <w:rsid w:val="005F6C77"/>
    <w:rsid w:val="006020EC"/>
    <w:rsid w:val="0060592C"/>
    <w:rsid w:val="00610518"/>
    <w:rsid w:val="00617360"/>
    <w:rsid w:val="00620A6D"/>
    <w:rsid w:val="0062409A"/>
    <w:rsid w:val="0062527C"/>
    <w:rsid w:val="006274BE"/>
    <w:rsid w:val="00643E99"/>
    <w:rsid w:val="00646065"/>
    <w:rsid w:val="006670B9"/>
    <w:rsid w:val="00667D94"/>
    <w:rsid w:val="0067024C"/>
    <w:rsid w:val="00670B91"/>
    <w:rsid w:val="00673396"/>
    <w:rsid w:val="00681AA2"/>
    <w:rsid w:val="00682BD2"/>
    <w:rsid w:val="00685C31"/>
    <w:rsid w:val="00691D34"/>
    <w:rsid w:val="006927D6"/>
    <w:rsid w:val="00692F2C"/>
    <w:rsid w:val="00694D3C"/>
    <w:rsid w:val="00697856"/>
    <w:rsid w:val="006A026E"/>
    <w:rsid w:val="006A7429"/>
    <w:rsid w:val="006C0D8B"/>
    <w:rsid w:val="006C1E78"/>
    <w:rsid w:val="006C463B"/>
    <w:rsid w:val="006C54AE"/>
    <w:rsid w:val="006D0CA9"/>
    <w:rsid w:val="006E7F01"/>
    <w:rsid w:val="006F2719"/>
    <w:rsid w:val="00701A28"/>
    <w:rsid w:val="00712F9F"/>
    <w:rsid w:val="0071621F"/>
    <w:rsid w:val="0072280D"/>
    <w:rsid w:val="007310C6"/>
    <w:rsid w:val="007429B7"/>
    <w:rsid w:val="00742A17"/>
    <w:rsid w:val="007711C2"/>
    <w:rsid w:val="00774F34"/>
    <w:rsid w:val="00784132"/>
    <w:rsid w:val="007A1FDC"/>
    <w:rsid w:val="007A22E5"/>
    <w:rsid w:val="007A4C79"/>
    <w:rsid w:val="007B3B4A"/>
    <w:rsid w:val="007B4F20"/>
    <w:rsid w:val="007B4F4C"/>
    <w:rsid w:val="007D1238"/>
    <w:rsid w:val="007E1127"/>
    <w:rsid w:val="007E3CEC"/>
    <w:rsid w:val="007E4486"/>
    <w:rsid w:val="007E500A"/>
    <w:rsid w:val="007F2527"/>
    <w:rsid w:val="008046B4"/>
    <w:rsid w:val="008103DA"/>
    <w:rsid w:val="008160E6"/>
    <w:rsid w:val="008161AC"/>
    <w:rsid w:val="00825673"/>
    <w:rsid w:val="0083005E"/>
    <w:rsid w:val="008315DB"/>
    <w:rsid w:val="008324DD"/>
    <w:rsid w:val="00833F11"/>
    <w:rsid w:val="00837BC4"/>
    <w:rsid w:val="00843CF4"/>
    <w:rsid w:val="00845AFA"/>
    <w:rsid w:val="00845DB4"/>
    <w:rsid w:val="0085272B"/>
    <w:rsid w:val="00853F34"/>
    <w:rsid w:val="00855925"/>
    <w:rsid w:val="008607E5"/>
    <w:rsid w:val="008636C5"/>
    <w:rsid w:val="00863955"/>
    <w:rsid w:val="00866789"/>
    <w:rsid w:val="00866D80"/>
    <w:rsid w:val="008676B4"/>
    <w:rsid w:val="00870BAE"/>
    <w:rsid w:val="008760EE"/>
    <w:rsid w:val="00877906"/>
    <w:rsid w:val="00890643"/>
    <w:rsid w:val="008A20FB"/>
    <w:rsid w:val="008B056C"/>
    <w:rsid w:val="008B2616"/>
    <w:rsid w:val="008B37BA"/>
    <w:rsid w:val="008B4528"/>
    <w:rsid w:val="008B5991"/>
    <w:rsid w:val="008C1EC7"/>
    <w:rsid w:val="008C43F2"/>
    <w:rsid w:val="008E7763"/>
    <w:rsid w:val="008F2903"/>
    <w:rsid w:val="0090172D"/>
    <w:rsid w:val="00904A3F"/>
    <w:rsid w:val="0090536B"/>
    <w:rsid w:val="00910C2C"/>
    <w:rsid w:val="0091710C"/>
    <w:rsid w:val="00923E7C"/>
    <w:rsid w:val="009252F6"/>
    <w:rsid w:val="009261CA"/>
    <w:rsid w:val="00926760"/>
    <w:rsid w:val="009361A6"/>
    <w:rsid w:val="00937C88"/>
    <w:rsid w:val="00942813"/>
    <w:rsid w:val="00952403"/>
    <w:rsid w:val="00954F3E"/>
    <w:rsid w:val="00956536"/>
    <w:rsid w:val="00970791"/>
    <w:rsid w:val="00971B75"/>
    <w:rsid w:val="009721D2"/>
    <w:rsid w:val="00993DD9"/>
    <w:rsid w:val="0099525F"/>
    <w:rsid w:val="009968D6"/>
    <w:rsid w:val="009A10FD"/>
    <w:rsid w:val="009A2D26"/>
    <w:rsid w:val="009A378E"/>
    <w:rsid w:val="009A5B44"/>
    <w:rsid w:val="009B13B7"/>
    <w:rsid w:val="009C0ED5"/>
    <w:rsid w:val="009C466D"/>
    <w:rsid w:val="009C5270"/>
    <w:rsid w:val="009C6B80"/>
    <w:rsid w:val="009E347E"/>
    <w:rsid w:val="009E4717"/>
    <w:rsid w:val="009E4A8B"/>
    <w:rsid w:val="009F2F96"/>
    <w:rsid w:val="009F38A1"/>
    <w:rsid w:val="009F3EF0"/>
    <w:rsid w:val="009F4AC9"/>
    <w:rsid w:val="009F5DAD"/>
    <w:rsid w:val="009F7C4C"/>
    <w:rsid w:val="00A05506"/>
    <w:rsid w:val="00A066FB"/>
    <w:rsid w:val="00A07730"/>
    <w:rsid w:val="00A07D8E"/>
    <w:rsid w:val="00A11143"/>
    <w:rsid w:val="00A37D21"/>
    <w:rsid w:val="00A42568"/>
    <w:rsid w:val="00A51417"/>
    <w:rsid w:val="00A611BC"/>
    <w:rsid w:val="00A65A3A"/>
    <w:rsid w:val="00A66119"/>
    <w:rsid w:val="00A72E62"/>
    <w:rsid w:val="00A82A19"/>
    <w:rsid w:val="00A8490E"/>
    <w:rsid w:val="00A86B6A"/>
    <w:rsid w:val="00A87F2E"/>
    <w:rsid w:val="00A94D7E"/>
    <w:rsid w:val="00A94F54"/>
    <w:rsid w:val="00AA0BA8"/>
    <w:rsid w:val="00AB69D6"/>
    <w:rsid w:val="00AC0ACB"/>
    <w:rsid w:val="00AC1DF7"/>
    <w:rsid w:val="00AC286D"/>
    <w:rsid w:val="00AC5D9A"/>
    <w:rsid w:val="00AC75AF"/>
    <w:rsid w:val="00AD2B4E"/>
    <w:rsid w:val="00AD4460"/>
    <w:rsid w:val="00AD6458"/>
    <w:rsid w:val="00AF3BF4"/>
    <w:rsid w:val="00B0252E"/>
    <w:rsid w:val="00B16DB2"/>
    <w:rsid w:val="00B17ECC"/>
    <w:rsid w:val="00B37559"/>
    <w:rsid w:val="00B517F6"/>
    <w:rsid w:val="00B600FF"/>
    <w:rsid w:val="00B6611B"/>
    <w:rsid w:val="00B70B7E"/>
    <w:rsid w:val="00B7172E"/>
    <w:rsid w:val="00B7266F"/>
    <w:rsid w:val="00B9151A"/>
    <w:rsid w:val="00B9713A"/>
    <w:rsid w:val="00BA25EB"/>
    <w:rsid w:val="00BB46A9"/>
    <w:rsid w:val="00BB68BA"/>
    <w:rsid w:val="00BC42BA"/>
    <w:rsid w:val="00BD2D07"/>
    <w:rsid w:val="00BD42F4"/>
    <w:rsid w:val="00BD4EDD"/>
    <w:rsid w:val="00BD5EE1"/>
    <w:rsid w:val="00BE16F2"/>
    <w:rsid w:val="00BE205A"/>
    <w:rsid w:val="00BF0134"/>
    <w:rsid w:val="00C02732"/>
    <w:rsid w:val="00C067CF"/>
    <w:rsid w:val="00C227DA"/>
    <w:rsid w:val="00C23A35"/>
    <w:rsid w:val="00C26C9C"/>
    <w:rsid w:val="00C30744"/>
    <w:rsid w:val="00C36D63"/>
    <w:rsid w:val="00C468CC"/>
    <w:rsid w:val="00C47C4F"/>
    <w:rsid w:val="00C52875"/>
    <w:rsid w:val="00C579C9"/>
    <w:rsid w:val="00C6528C"/>
    <w:rsid w:val="00C67A64"/>
    <w:rsid w:val="00C765A3"/>
    <w:rsid w:val="00C76DD2"/>
    <w:rsid w:val="00C82B7A"/>
    <w:rsid w:val="00C83AE2"/>
    <w:rsid w:val="00C915BD"/>
    <w:rsid w:val="00C9197C"/>
    <w:rsid w:val="00C940CD"/>
    <w:rsid w:val="00CA0262"/>
    <w:rsid w:val="00CA1B10"/>
    <w:rsid w:val="00CA4791"/>
    <w:rsid w:val="00CA4B4B"/>
    <w:rsid w:val="00CA5B96"/>
    <w:rsid w:val="00CC0D3E"/>
    <w:rsid w:val="00CC43A1"/>
    <w:rsid w:val="00CD4E1D"/>
    <w:rsid w:val="00CE1433"/>
    <w:rsid w:val="00CE1541"/>
    <w:rsid w:val="00D00B3C"/>
    <w:rsid w:val="00D05F89"/>
    <w:rsid w:val="00D172D3"/>
    <w:rsid w:val="00D22872"/>
    <w:rsid w:val="00D276F6"/>
    <w:rsid w:val="00D303B5"/>
    <w:rsid w:val="00D31596"/>
    <w:rsid w:val="00D31912"/>
    <w:rsid w:val="00D35E03"/>
    <w:rsid w:val="00D47ACE"/>
    <w:rsid w:val="00D6394B"/>
    <w:rsid w:val="00D66537"/>
    <w:rsid w:val="00D669F8"/>
    <w:rsid w:val="00D725AF"/>
    <w:rsid w:val="00D77C35"/>
    <w:rsid w:val="00D845E2"/>
    <w:rsid w:val="00D917F9"/>
    <w:rsid w:val="00D921E6"/>
    <w:rsid w:val="00DA02A1"/>
    <w:rsid w:val="00DA0BB6"/>
    <w:rsid w:val="00DA1330"/>
    <w:rsid w:val="00DA14D5"/>
    <w:rsid w:val="00DB0EC2"/>
    <w:rsid w:val="00DB6E0A"/>
    <w:rsid w:val="00DB7744"/>
    <w:rsid w:val="00DC4A95"/>
    <w:rsid w:val="00DD2FE3"/>
    <w:rsid w:val="00DE3B05"/>
    <w:rsid w:val="00DE54F1"/>
    <w:rsid w:val="00DE5B45"/>
    <w:rsid w:val="00DE60A8"/>
    <w:rsid w:val="00DE7B78"/>
    <w:rsid w:val="00E10280"/>
    <w:rsid w:val="00E108B3"/>
    <w:rsid w:val="00E17675"/>
    <w:rsid w:val="00E209E4"/>
    <w:rsid w:val="00E23AE1"/>
    <w:rsid w:val="00E2715F"/>
    <w:rsid w:val="00E30D4F"/>
    <w:rsid w:val="00E34F87"/>
    <w:rsid w:val="00E378B1"/>
    <w:rsid w:val="00E5695F"/>
    <w:rsid w:val="00E56E34"/>
    <w:rsid w:val="00E62F5F"/>
    <w:rsid w:val="00E649CC"/>
    <w:rsid w:val="00E70247"/>
    <w:rsid w:val="00E77221"/>
    <w:rsid w:val="00E77EF1"/>
    <w:rsid w:val="00E82F2C"/>
    <w:rsid w:val="00E871E4"/>
    <w:rsid w:val="00E918E8"/>
    <w:rsid w:val="00E93727"/>
    <w:rsid w:val="00EA0EC5"/>
    <w:rsid w:val="00EA4332"/>
    <w:rsid w:val="00EA50B4"/>
    <w:rsid w:val="00EB054C"/>
    <w:rsid w:val="00EB2037"/>
    <w:rsid w:val="00EB587A"/>
    <w:rsid w:val="00EC6912"/>
    <w:rsid w:val="00EC6F07"/>
    <w:rsid w:val="00EC7F93"/>
    <w:rsid w:val="00ED1445"/>
    <w:rsid w:val="00EE32EE"/>
    <w:rsid w:val="00EE5311"/>
    <w:rsid w:val="00F043A5"/>
    <w:rsid w:val="00F0630D"/>
    <w:rsid w:val="00F10887"/>
    <w:rsid w:val="00F2144D"/>
    <w:rsid w:val="00F23D6C"/>
    <w:rsid w:val="00F23E8B"/>
    <w:rsid w:val="00F30B40"/>
    <w:rsid w:val="00F35D9C"/>
    <w:rsid w:val="00F5421A"/>
    <w:rsid w:val="00F55C58"/>
    <w:rsid w:val="00F614D5"/>
    <w:rsid w:val="00F67EE3"/>
    <w:rsid w:val="00F732C3"/>
    <w:rsid w:val="00F75F8A"/>
    <w:rsid w:val="00F901E0"/>
    <w:rsid w:val="00F9253F"/>
    <w:rsid w:val="00F94740"/>
    <w:rsid w:val="00FA0DCE"/>
    <w:rsid w:val="00FA191A"/>
    <w:rsid w:val="00FA21EA"/>
    <w:rsid w:val="00FA6D2E"/>
    <w:rsid w:val="00FB07B9"/>
    <w:rsid w:val="00FB1602"/>
    <w:rsid w:val="00FB210E"/>
    <w:rsid w:val="00FB297A"/>
    <w:rsid w:val="00FB44E7"/>
    <w:rsid w:val="00FC1F34"/>
    <w:rsid w:val="00FC3DD5"/>
    <w:rsid w:val="00FC787C"/>
    <w:rsid w:val="00FD0BC2"/>
    <w:rsid w:val="00FF766A"/>
    <w:rsid w:val="011A6EDF"/>
    <w:rsid w:val="0206484B"/>
    <w:rsid w:val="048B7F76"/>
    <w:rsid w:val="04A24233"/>
    <w:rsid w:val="050A64D5"/>
    <w:rsid w:val="058B0C0D"/>
    <w:rsid w:val="07552C28"/>
    <w:rsid w:val="098C7B0B"/>
    <w:rsid w:val="0CC62990"/>
    <w:rsid w:val="0DC373F7"/>
    <w:rsid w:val="0DD67653"/>
    <w:rsid w:val="166B46B0"/>
    <w:rsid w:val="1825406D"/>
    <w:rsid w:val="18C466CE"/>
    <w:rsid w:val="190768A1"/>
    <w:rsid w:val="19A94557"/>
    <w:rsid w:val="1AC10471"/>
    <w:rsid w:val="1FF84A55"/>
    <w:rsid w:val="216F5D06"/>
    <w:rsid w:val="289E1DAE"/>
    <w:rsid w:val="28FA4513"/>
    <w:rsid w:val="2A9F4EEF"/>
    <w:rsid w:val="306D700A"/>
    <w:rsid w:val="32B81B61"/>
    <w:rsid w:val="36497D1B"/>
    <w:rsid w:val="36940921"/>
    <w:rsid w:val="39391D68"/>
    <w:rsid w:val="3B862C4E"/>
    <w:rsid w:val="3C242BB2"/>
    <w:rsid w:val="3FBF200E"/>
    <w:rsid w:val="3FC540DF"/>
    <w:rsid w:val="406C7423"/>
    <w:rsid w:val="413A6487"/>
    <w:rsid w:val="43E73BE1"/>
    <w:rsid w:val="47BC720D"/>
    <w:rsid w:val="48102672"/>
    <w:rsid w:val="4A7614DE"/>
    <w:rsid w:val="52975683"/>
    <w:rsid w:val="53C138A8"/>
    <w:rsid w:val="53D272F1"/>
    <w:rsid w:val="5C447128"/>
    <w:rsid w:val="60FF617E"/>
    <w:rsid w:val="646A37B6"/>
    <w:rsid w:val="65197307"/>
    <w:rsid w:val="6BC63A28"/>
    <w:rsid w:val="6E080AAE"/>
    <w:rsid w:val="6E8C68BC"/>
    <w:rsid w:val="6FA60A67"/>
    <w:rsid w:val="73021726"/>
    <w:rsid w:val="783477A4"/>
    <w:rsid w:val="7AEA44C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unhideWhenUsed="0" w:uiPriority="0" w:semiHidden="0" w:name="header"/>
    <w:lsdException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lang w:eastAsia="en-US"/>
    </w:rPr>
  </w:style>
  <w:style w:type="paragraph" w:styleId="7">
    <w:name w:val="heading 6"/>
    <w:basedOn w:val="1"/>
    <w:next w:val="1"/>
    <w:qFormat/>
    <w:uiPriority w:val="0"/>
    <w:pPr>
      <w:keepNext/>
      <w:outlineLvl w:val="5"/>
    </w:pPr>
    <w:rPr>
      <w:rFonts w:ascii="Arial" w:hAnsi="Arial"/>
      <w:b/>
      <w:color w:val="C0C0C0"/>
      <w:sz w:val="24"/>
      <w:lang w:eastAsia="en-US"/>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0">
    <w:name w:val="Default Paragraph Font"/>
    <w:semiHidden/>
    <w:qFormat/>
    <w:uiPriority w:val="0"/>
  </w:style>
  <w:style w:type="table" w:default="1" w:styleId="18">
    <w:name w:val="Normal Table"/>
    <w:unhideWhenUsed/>
    <w:qFormat/>
    <w:uiPriority w:val="99"/>
    <w:tblPr>
      <w:tblCellMar>
        <w:top w:w="0" w:type="dxa"/>
        <w:left w:w="108" w:type="dxa"/>
        <w:bottom w:w="0" w:type="dxa"/>
        <w:right w:w="108" w:type="dxa"/>
      </w:tblCellMar>
    </w:tblPr>
  </w:style>
  <w:style w:type="paragraph" w:styleId="11">
    <w:name w:val="annotation text"/>
    <w:basedOn w:val="1"/>
    <w:link w:val="24"/>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25"/>
    <w:qFormat/>
    <w:uiPriority w:val="0"/>
    <w:rPr>
      <w:rFonts w:ascii="Arial" w:hAnsi="Arial" w:cs="Arial"/>
      <w:color w:val="FF0000"/>
    </w:rPr>
  </w:style>
  <w:style w:type="paragraph" w:styleId="13">
    <w:name w:val="List 2"/>
    <w:basedOn w:val="1"/>
    <w:unhideWhenUsed/>
    <w:qFormat/>
    <w:uiPriority w:val="99"/>
    <w:pPr>
      <w:ind w:left="566" w:hanging="283"/>
      <w:contextualSpacing/>
    </w:pPr>
  </w:style>
  <w:style w:type="paragraph" w:styleId="14">
    <w:name w:val="Balloon Text"/>
    <w:basedOn w:val="1"/>
    <w:link w:val="26"/>
    <w:unhideWhenUsed/>
    <w:qFormat/>
    <w:uiPriority w:val="99"/>
    <w:rPr>
      <w:rFonts w:ascii="Tahoma" w:hAnsi="Tahoma" w:cs="Tahoma"/>
      <w:sz w:val="16"/>
      <w:szCs w:val="16"/>
    </w:rPr>
  </w:style>
  <w:style w:type="paragraph" w:styleId="15">
    <w:name w:val="footer"/>
    <w:basedOn w:val="1"/>
    <w:semiHidden/>
    <w:uiPriority w:val="0"/>
    <w:pPr>
      <w:tabs>
        <w:tab w:val="center" w:pos="4153"/>
        <w:tab w:val="right" w:pos="8306"/>
      </w:tabs>
    </w:pPr>
  </w:style>
  <w:style w:type="paragraph" w:styleId="16">
    <w:name w:val="header"/>
    <w:basedOn w:val="1"/>
    <w:link w:val="27"/>
    <w:uiPriority w:val="0"/>
    <w:pPr>
      <w:tabs>
        <w:tab w:val="center" w:pos="4153"/>
        <w:tab w:val="right" w:pos="8306"/>
      </w:tabs>
    </w:pPr>
  </w:style>
  <w:style w:type="paragraph" w:styleId="17">
    <w:name w:val="annotation subject"/>
    <w:basedOn w:val="11"/>
    <w:next w:val="11"/>
    <w:link w:val="28"/>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unhideWhenUsed/>
    <w:qFormat/>
    <w:uiPriority w:val="99"/>
    <w:rPr>
      <w:color w:val="0000FF"/>
      <w:u w:val="single"/>
    </w:rPr>
  </w:style>
  <w:style w:type="character" w:styleId="23">
    <w:name w:val="annotation reference"/>
    <w:semiHidden/>
    <w:qFormat/>
    <w:uiPriority w:val="0"/>
    <w:rPr>
      <w:sz w:val="16"/>
    </w:rPr>
  </w:style>
  <w:style w:type="character" w:customStyle="1" w:styleId="24">
    <w:name w:val="Comment Text Char"/>
    <w:link w:val="11"/>
    <w:semiHidden/>
    <w:qFormat/>
    <w:uiPriority w:val="0"/>
    <w:rPr>
      <w:rFonts w:ascii="Arial" w:hAnsi="Arial"/>
      <w:lang w:val="en-GB" w:eastAsia="en-US"/>
    </w:rPr>
  </w:style>
  <w:style w:type="character" w:customStyle="1" w:styleId="25">
    <w:name w:val="Body Text Char"/>
    <w:link w:val="12"/>
    <w:qFormat/>
    <w:uiPriority w:val="0"/>
    <w:rPr>
      <w:rFonts w:ascii="Arial" w:hAnsi="Arial" w:cs="Arial"/>
      <w:color w:val="FF0000"/>
      <w:lang w:val="en-GB" w:eastAsia="en-US"/>
    </w:rPr>
  </w:style>
  <w:style w:type="character" w:customStyle="1" w:styleId="26">
    <w:name w:val="Balloon Text Char"/>
    <w:link w:val="14"/>
    <w:semiHidden/>
    <w:qFormat/>
    <w:uiPriority w:val="99"/>
    <w:rPr>
      <w:rFonts w:ascii="Tahoma" w:hAnsi="Tahoma" w:cs="Tahoma"/>
      <w:sz w:val="16"/>
      <w:szCs w:val="16"/>
      <w:lang w:val="en-GB"/>
    </w:rPr>
  </w:style>
  <w:style w:type="character" w:customStyle="1" w:styleId="27">
    <w:name w:val="Header Char"/>
    <w:link w:val="16"/>
    <w:qFormat/>
    <w:uiPriority w:val="0"/>
    <w:rPr>
      <w:lang w:val="en-GB" w:eastAsia="en-US"/>
    </w:rPr>
  </w:style>
  <w:style w:type="character" w:customStyle="1" w:styleId="28">
    <w:name w:val="Comment Subject Char"/>
    <w:link w:val="17"/>
    <w:semiHidden/>
    <w:qFormat/>
    <w:uiPriority w:val="99"/>
    <w:rPr>
      <w:rFonts w:ascii="Arial" w:hAnsi="Arial"/>
      <w:b/>
      <w:bCs/>
      <w:lang w:val="en-GB" w:eastAsia="en-US"/>
    </w:rPr>
  </w:style>
  <w:style w:type="character" w:customStyle="1" w:styleId="29">
    <w:name w:val="apple-converted-space"/>
    <w:qFormat/>
    <w:uiPriority w:val="0"/>
  </w:style>
  <w:style w:type="character" w:customStyle="1" w:styleId="30">
    <w:name w:val="CR Cover Page Zchn"/>
    <w:link w:val="31"/>
    <w:qFormat/>
    <w:locked/>
    <w:uiPriority w:val="0"/>
    <w:rPr>
      <w:rFonts w:ascii="Arial" w:hAnsi="Arial" w:cs="Arial"/>
      <w:lang w:eastAsia="en-US"/>
    </w:rPr>
  </w:style>
  <w:style w:type="paragraph" w:customStyle="1" w:styleId="31">
    <w:name w:val="CR Cover Page"/>
    <w:next w:val="1"/>
    <w:link w:val="30"/>
    <w:qFormat/>
    <w:uiPriority w:val="0"/>
    <w:pPr>
      <w:spacing w:after="120"/>
    </w:pPr>
    <w:rPr>
      <w:rFonts w:ascii="Arial" w:hAnsi="Arial" w:eastAsia="宋体" w:cs="Arial"/>
      <w:lang w:val="en-US" w:eastAsia="en-US" w:bidi="ar-SA"/>
    </w:rPr>
  </w:style>
  <w:style w:type="character" w:customStyle="1" w:styleId="32">
    <w:name w:val="List Paragraph Char"/>
    <w:link w:val="33"/>
    <w:qFormat/>
    <w:locked/>
    <w:uiPriority w:val="34"/>
    <w:rPr>
      <w:lang w:val="en-GB" w:eastAsia="en-US"/>
    </w:rPr>
  </w:style>
  <w:style w:type="paragraph" w:styleId="33">
    <w:name w:val="List Paragraph"/>
    <w:basedOn w:val="1"/>
    <w:link w:val="32"/>
    <w:qFormat/>
    <w:uiPriority w:val="34"/>
    <w:pPr>
      <w:ind w:left="720"/>
      <w:contextualSpacing/>
    </w:pPr>
  </w:style>
  <w:style w:type="character" w:customStyle="1" w:styleId="34">
    <w:name w:val="页眉 字符"/>
    <w:semiHidden/>
    <w:qFormat/>
    <w:uiPriority w:val="0"/>
    <w:rPr>
      <w:lang w:val="en-GB" w:eastAsia="en-US"/>
    </w:rPr>
  </w:style>
  <w:style w:type="character" w:customStyle="1" w:styleId="35">
    <w:name w:val="B2 Char"/>
    <w:link w:val="36"/>
    <w:qFormat/>
    <w:uiPriority w:val="0"/>
    <w:rPr>
      <w:rFonts w:eastAsia="Times New Roman"/>
      <w:lang w:val="en-GB" w:eastAsia="en-GB"/>
    </w:rPr>
  </w:style>
  <w:style w:type="paragraph" w:customStyle="1" w:styleId="36">
    <w:name w:val="B2"/>
    <w:basedOn w:val="13"/>
    <w:link w:val="35"/>
    <w:qFormat/>
    <w:uiPriority w:val="0"/>
    <w:pPr>
      <w:overflowPunct w:val="0"/>
      <w:autoSpaceDE w:val="0"/>
      <w:autoSpaceDN w:val="0"/>
      <w:adjustRightInd w:val="0"/>
      <w:spacing w:after="180"/>
      <w:ind w:left="851" w:hanging="284"/>
      <w:textAlignment w:val="baseline"/>
    </w:pPr>
    <w:rPr>
      <w:rFonts w:eastAsia="Times New Roman"/>
      <w:lang w:eastAsia="en-GB"/>
    </w:rPr>
  </w:style>
  <w:style w:type="paragraph" w:customStyle="1" w:styleId="37">
    <w:name w:val="??"/>
    <w:qFormat/>
    <w:uiPriority w:val="0"/>
    <w:pPr>
      <w:widowControl w:val="0"/>
    </w:pPr>
    <w:rPr>
      <w:rFonts w:ascii="Times New Roman" w:hAnsi="Times New Roman" w:eastAsia="宋体" w:cs="Times New Roman"/>
      <w:lang w:val="en-US" w:eastAsia="en-US" w:bidi="ar-SA"/>
    </w:rPr>
  </w:style>
  <w:style w:type="paragraph" w:customStyle="1" w:styleId="38">
    <w:name w:val="Not Done"/>
    <w:basedOn w:val="39"/>
    <w:qFormat/>
    <w:uiPriority w:val="0"/>
    <w:pPr>
      <w:numPr>
        <w:ilvl w:val="0"/>
        <w:numId w:val="1"/>
      </w:numPr>
      <w:tabs>
        <w:tab w:val="left" w:pos="360"/>
        <w:tab w:val="left" w:pos="1125"/>
        <w:tab w:val="left" w:pos="1843"/>
      </w:tabs>
    </w:pPr>
    <w:rPr>
      <w:color w:val="FF0000"/>
    </w:rPr>
  </w:style>
  <w:style w:type="paragraph" w:customStyle="1" w:styleId="39">
    <w:name w:val="done"/>
    <w:basedOn w:val="40"/>
    <w:qFormat/>
    <w:uiPriority w:val="0"/>
    <w:pPr>
      <w:numPr>
        <w:ilvl w:val="0"/>
        <w:numId w:val="2"/>
      </w:numPr>
      <w:pBdr>
        <w:top w:val="single" w:color="008000" w:sz="6" w:space="1"/>
        <w:left w:val="single" w:color="008000" w:sz="6" w:space="4"/>
        <w:bottom w:val="single" w:color="008000" w:sz="6" w:space="1"/>
        <w:right w:val="single" w:color="008000" w:sz="6" w:space="4"/>
      </w:pBdr>
      <w:tabs>
        <w:tab w:val="left" w:pos="360"/>
        <w:tab w:val="left" w:pos="1843"/>
      </w:tabs>
      <w:ind w:left="340" w:hanging="340"/>
    </w:pPr>
    <w:rPr>
      <w:color w:val="008000"/>
    </w:rPr>
  </w:style>
  <w:style w:type="paragraph" w:customStyle="1" w:styleId="40">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41">
    <w:name w:val="??? 2"/>
    <w:basedOn w:val="37"/>
    <w:next w:val="37"/>
    <w:qFormat/>
    <w:uiPriority w:val="0"/>
    <w:pPr>
      <w:keepNext/>
    </w:pPr>
    <w:rPr>
      <w:rFonts w:ascii="Arial" w:hAnsi="Arial"/>
      <w:b/>
      <w:sz w:val="24"/>
    </w:rPr>
  </w:style>
  <w:style w:type="paragraph" w:customStyle="1" w:styleId="42">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43">
    <w:name w:val="00 BodyText"/>
    <w:basedOn w:val="1"/>
    <w:qFormat/>
    <w:uiPriority w:val="0"/>
    <w:pPr>
      <w:spacing w:after="220"/>
    </w:pPr>
    <w:rPr>
      <w:rFonts w:ascii="Arial" w:hAnsi="Arial"/>
      <w:sz w:val="22"/>
      <w:lang w:val="en-US" w:eastAsia="en-US"/>
    </w:rPr>
  </w:style>
  <w:style w:type="paragraph" w:customStyle="1" w:styleId="44">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45">
    <w:name w:val="B1"/>
    <w:basedOn w:val="1"/>
    <w:qFormat/>
    <w:uiPriority w:val="0"/>
    <w:pPr>
      <w:ind w:left="567" w:hanging="567"/>
      <w:jc w:val="both"/>
    </w:pPr>
    <w:rPr>
      <w:rFonts w:ascii="Arial" w:hAnsi="Arial"/>
      <w:lang w:eastAsia="en-US"/>
    </w:rPr>
  </w:style>
  <w:style w:type="paragraph" w:customStyle="1" w:styleId="46">
    <w:name w:val="TH"/>
    <w:basedOn w:val="1"/>
    <w:qFormat/>
    <w:uiPriority w:val="0"/>
    <w:pPr>
      <w:keepNext/>
      <w:keepLines/>
      <w:spacing w:before="60"/>
      <w:jc w:val="center"/>
    </w:pPr>
    <w:rPr>
      <w:rFonts w:ascii="Arial" w:hAnsi="Arial"/>
      <w:b/>
    </w:rPr>
  </w:style>
  <w:style w:type="paragraph" w:customStyle="1" w:styleId="47">
    <w:name w:val="TAH"/>
    <w:basedOn w:val="48"/>
    <w:qFormat/>
    <w:uiPriority w:val="99"/>
    <w:rPr>
      <w:b/>
    </w:rPr>
  </w:style>
  <w:style w:type="paragraph" w:customStyle="1" w:styleId="48">
    <w:name w:val="TAC"/>
    <w:basedOn w:val="49"/>
    <w:qFormat/>
    <w:uiPriority w:val="99"/>
    <w:pPr>
      <w:jc w:val="center"/>
    </w:pPr>
  </w:style>
  <w:style w:type="paragraph" w:customStyle="1" w:styleId="49">
    <w:name w:val="TAL"/>
    <w:basedOn w:val="1"/>
    <w:qFormat/>
    <w:uiPriority w:val="0"/>
    <w:pPr>
      <w:keepNext/>
      <w:keepLines/>
      <w:spacing w:after="0"/>
    </w:pPr>
    <w:rPr>
      <w:rFonts w:ascii="Arial" w:hAnsi="Arial"/>
      <w:sz w:val="18"/>
    </w:rPr>
  </w:style>
  <w:style w:type="paragraph" w:customStyle="1" w:styleId="50">
    <w:name w:val="TAN"/>
    <w:basedOn w:val="49"/>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657</Words>
  <Characters>3746</Characters>
  <Lines>31</Lines>
  <Paragraphs>8</Paragraphs>
  <TotalTime>21</TotalTime>
  <ScaleCrop>false</ScaleCrop>
  <LinksUpToDate>false</LinksUpToDate>
  <CharactersWithSpaces>4395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2022-11-17T13:15:00Z</dcterms:created>
  <dcterms:modified xsi:type="dcterms:W3CDTF">2024-02-19T13:28:15Z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D8E01AD588ED4A96B41F5C450A650415</vt:lpwstr>
  </property>
</Properties>
</file>